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8E34" w14:textId="77777777" w:rsidR="00025586" w:rsidRPr="00F14A0A" w:rsidRDefault="00025586" w:rsidP="00025586">
      <w:pPr>
        <w:pStyle w:val="Header"/>
        <w:jc w:val="right"/>
        <w:rPr>
          <w:sz w:val="16"/>
          <w:szCs w:val="16"/>
          <w:lang w:val="en-US"/>
        </w:rPr>
      </w:pPr>
      <w:r w:rsidRPr="00FC199A">
        <w:rPr>
          <w:sz w:val="16"/>
          <w:szCs w:val="16"/>
          <w:lang w:val="en-US"/>
        </w:rPr>
        <w:t>(</w:t>
      </w:r>
      <w:r w:rsidRPr="00F14A0A">
        <w:rPr>
          <w:sz w:val="16"/>
          <w:szCs w:val="16"/>
          <w:lang w:val="en-US"/>
        </w:rPr>
        <w:t>Sent by Certified Mail</w:t>
      </w:r>
    </w:p>
    <w:p w14:paraId="4B055D92" w14:textId="77777777" w:rsidR="00025586" w:rsidRPr="00025586" w:rsidRDefault="00025586" w:rsidP="00025586">
      <w:pPr>
        <w:pStyle w:val="Header"/>
        <w:jc w:val="right"/>
        <w:rPr>
          <w:sz w:val="16"/>
          <w:szCs w:val="16"/>
          <w:lang w:val="en-US"/>
        </w:rPr>
      </w:pPr>
      <w:r w:rsidRPr="00F14A0A">
        <w:rPr>
          <w:sz w:val="16"/>
          <w:szCs w:val="16"/>
          <w:lang w:val="en-US"/>
        </w:rPr>
        <w:t xml:space="preserve"> Return Receipt Requested, or personally served)</w:t>
      </w:r>
    </w:p>
    <w:p w14:paraId="5FB70FDB" w14:textId="77777777" w:rsidR="00025586" w:rsidRPr="00025586" w:rsidRDefault="00025586" w:rsidP="00025586">
      <w:pPr>
        <w:pStyle w:val="NoSpacing"/>
        <w:jc w:val="both"/>
        <w:rPr>
          <w:rFonts w:ascii="Century Gothic" w:hAnsi="Century Gothic"/>
          <w:highlight w:val="yellow"/>
        </w:rPr>
      </w:pPr>
      <w:r w:rsidRPr="00025586">
        <w:rPr>
          <w:rFonts w:ascii="Century Gothic" w:hAnsi="Century Gothic"/>
          <w:highlight w:val="lightGray"/>
        </w:rPr>
        <w:t>[Date]</w:t>
      </w:r>
    </w:p>
    <w:p w14:paraId="0CE8278B" w14:textId="77777777" w:rsidR="00025586" w:rsidRPr="00025586" w:rsidRDefault="00025586" w:rsidP="001C05EB">
      <w:pPr>
        <w:pStyle w:val="NoSpacing"/>
      </w:pPr>
    </w:p>
    <w:p w14:paraId="4141B0F3" w14:textId="77777777" w:rsidR="00025586" w:rsidRPr="00025586" w:rsidRDefault="00025586" w:rsidP="00025586">
      <w:pPr>
        <w:pStyle w:val="NoSpacing"/>
        <w:jc w:val="both"/>
        <w:rPr>
          <w:rFonts w:ascii="Century Gothic" w:hAnsi="Century Gothic"/>
        </w:rPr>
      </w:pPr>
    </w:p>
    <w:p w14:paraId="102E2FA0" w14:textId="77777777" w:rsidR="00025586" w:rsidRPr="00025586" w:rsidRDefault="00025586" w:rsidP="00F14A0A">
      <w:pPr>
        <w:pStyle w:val="NoSpacing"/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Tenant Name</w:t>
      </w:r>
      <w:r w:rsidRPr="00025586">
        <w:rPr>
          <w:rFonts w:ascii="Century Gothic" w:hAnsi="Century Gothic"/>
        </w:rPr>
        <w:t>]</w:t>
      </w:r>
    </w:p>
    <w:p w14:paraId="4676CCFD" w14:textId="77777777" w:rsidR="00025586" w:rsidRPr="00025586" w:rsidRDefault="00025586" w:rsidP="00F14A0A">
      <w:pPr>
        <w:pStyle w:val="NoSpacing"/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Tenant Address</w:t>
      </w:r>
      <w:r w:rsidRPr="00025586">
        <w:rPr>
          <w:rFonts w:ascii="Century Gothic" w:hAnsi="Century Gothic"/>
        </w:rPr>
        <w:t>]</w:t>
      </w:r>
    </w:p>
    <w:p w14:paraId="56A2E405" w14:textId="435CEB1D" w:rsidR="00025586" w:rsidRDefault="00025586" w:rsidP="00F14A0A">
      <w:pPr>
        <w:pStyle w:val="NoSpacing"/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City, State, Zip</w:t>
      </w:r>
      <w:r w:rsidRPr="00025586">
        <w:rPr>
          <w:rFonts w:ascii="Century Gothic" w:hAnsi="Century Gothic"/>
        </w:rPr>
        <w:t>]</w:t>
      </w:r>
    </w:p>
    <w:p w14:paraId="5EB4999D" w14:textId="77777777" w:rsidR="00F14A0A" w:rsidRPr="00025586" w:rsidRDefault="00F14A0A" w:rsidP="00F14A0A">
      <w:pPr>
        <w:pStyle w:val="NoSpacing"/>
        <w:spacing w:line="259" w:lineRule="auto"/>
        <w:jc w:val="both"/>
        <w:rPr>
          <w:rFonts w:ascii="Century Gothic" w:hAnsi="Century Gothic"/>
        </w:rPr>
      </w:pPr>
    </w:p>
    <w:p w14:paraId="4212730D" w14:textId="77777777" w:rsidR="00025586" w:rsidRPr="00025586" w:rsidRDefault="00025586" w:rsidP="00025586">
      <w:pPr>
        <w:pStyle w:val="NoSpacing"/>
        <w:jc w:val="both"/>
        <w:rPr>
          <w:rFonts w:ascii="Century Gothic" w:hAnsi="Century Gothic"/>
        </w:rPr>
      </w:pPr>
    </w:p>
    <w:p w14:paraId="4BD8A968" w14:textId="2B1A50FF" w:rsidR="00FC199A" w:rsidRDefault="00025586" w:rsidP="00025586">
      <w:pPr>
        <w:pStyle w:val="NoSpacing"/>
        <w:jc w:val="both"/>
        <w:rPr>
          <w:rFonts w:ascii="Century Gothic" w:hAnsi="Century Gothic"/>
          <w:b/>
          <w:bCs/>
        </w:rPr>
      </w:pPr>
      <w:r w:rsidRPr="00025586">
        <w:rPr>
          <w:rFonts w:ascii="Century Gothic" w:hAnsi="Century Gothic"/>
          <w:b/>
          <w:bCs/>
        </w:rPr>
        <w:t xml:space="preserve">Re: </w:t>
      </w:r>
      <w:r w:rsidR="00F14A0A">
        <w:rPr>
          <w:rFonts w:ascii="Century Gothic" w:hAnsi="Century Gothic"/>
          <w:b/>
          <w:bCs/>
        </w:rPr>
        <w:tab/>
      </w:r>
      <w:r w:rsidRPr="00025586">
        <w:rPr>
          <w:rFonts w:ascii="Century Gothic" w:hAnsi="Century Gothic"/>
          <w:b/>
          <w:bCs/>
        </w:rPr>
        <w:t xml:space="preserve">URA – Notice of Ineligibility </w:t>
      </w:r>
    </w:p>
    <w:p w14:paraId="58D48E64" w14:textId="2DBF305C" w:rsidR="00025586" w:rsidRPr="00025586" w:rsidRDefault="00025586" w:rsidP="00263076">
      <w:pPr>
        <w:pStyle w:val="NoSpacing"/>
        <w:ind w:left="630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  <w:b/>
          <w:bCs/>
        </w:rPr>
        <w:t xml:space="preserve"> </w:t>
      </w: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URA Case ID</w:t>
      </w:r>
      <w:r w:rsidRPr="00025586">
        <w:rPr>
          <w:rFonts w:ascii="Century Gothic" w:hAnsi="Century Gothic"/>
        </w:rPr>
        <w:t>]</w:t>
      </w:r>
    </w:p>
    <w:p w14:paraId="6D6775E8" w14:textId="77777777" w:rsidR="00025586" w:rsidRPr="00025586" w:rsidRDefault="00025586" w:rsidP="00025586">
      <w:pPr>
        <w:pStyle w:val="NoSpacing"/>
        <w:jc w:val="both"/>
        <w:rPr>
          <w:rFonts w:ascii="Century Gothic" w:hAnsi="Century Gothic"/>
          <w:b/>
          <w:bCs/>
        </w:rPr>
      </w:pPr>
    </w:p>
    <w:p w14:paraId="35232E7B" w14:textId="77777777" w:rsidR="00025586" w:rsidRPr="00025586" w:rsidRDefault="00025586" w:rsidP="00025586">
      <w:pPr>
        <w:pStyle w:val="BodyText"/>
        <w:spacing w:before="12"/>
        <w:jc w:val="both"/>
        <w:rPr>
          <w:rFonts w:ascii="Century Gothic" w:hAnsi="Century Gothic"/>
          <w:sz w:val="22"/>
          <w:szCs w:val="22"/>
        </w:rPr>
      </w:pPr>
    </w:p>
    <w:p w14:paraId="21BAFF6D" w14:textId="77777777" w:rsidR="00025586" w:rsidRPr="00025586" w:rsidRDefault="00025586" w:rsidP="00025586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025586">
        <w:rPr>
          <w:rFonts w:ascii="Century Gothic" w:hAnsi="Century Gothic"/>
          <w:sz w:val="22"/>
          <w:szCs w:val="22"/>
        </w:rPr>
        <w:t>Dear [</w:t>
      </w:r>
      <w:r w:rsidRPr="00025586">
        <w:rPr>
          <w:rFonts w:ascii="Century Gothic" w:hAnsi="Century Gothic"/>
          <w:sz w:val="22"/>
          <w:szCs w:val="22"/>
          <w:highlight w:val="lightGray"/>
        </w:rPr>
        <w:t>Tenant’s Full Name</w:t>
      </w:r>
      <w:r w:rsidRPr="00025586">
        <w:rPr>
          <w:rFonts w:ascii="Century Gothic" w:hAnsi="Century Gothic"/>
          <w:sz w:val="22"/>
          <w:szCs w:val="22"/>
        </w:rPr>
        <w:t>]:</w:t>
      </w:r>
    </w:p>
    <w:p w14:paraId="1DE5AACD" w14:textId="77777777" w:rsidR="00025586" w:rsidRPr="00025586" w:rsidRDefault="00025586" w:rsidP="00025586">
      <w:pPr>
        <w:pStyle w:val="BodyText"/>
        <w:spacing w:before="12"/>
        <w:jc w:val="both"/>
        <w:rPr>
          <w:rFonts w:ascii="Century Gothic" w:hAnsi="Century Gothic"/>
          <w:sz w:val="22"/>
          <w:szCs w:val="22"/>
        </w:rPr>
      </w:pPr>
    </w:p>
    <w:p w14:paraId="0ED648C7" w14:textId="0BC65C40" w:rsidR="00025586" w:rsidRDefault="00025586" w:rsidP="00F14A0A">
      <w:pPr>
        <w:spacing w:after="0"/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On [</w:t>
      </w:r>
      <w:r w:rsidRPr="00025586">
        <w:rPr>
          <w:sz w:val="22"/>
          <w:highlight w:val="lightGray"/>
          <w:lang w:val="en-US"/>
        </w:rPr>
        <w:t>Date of Tenant GIN</w:t>
      </w:r>
      <w:r w:rsidRPr="00025586">
        <w:rPr>
          <w:sz w:val="22"/>
          <w:lang w:val="en-US"/>
        </w:rPr>
        <w:t xml:space="preserve">], the </w:t>
      </w:r>
      <w:r w:rsidR="003A350D">
        <w:rPr>
          <w:sz w:val="22"/>
          <w:lang w:val="en-US"/>
        </w:rPr>
        <w:t>[</w:t>
      </w:r>
      <w:r w:rsidR="00FC199A">
        <w:rPr>
          <w:sz w:val="22"/>
          <w:highlight w:val="lightGray"/>
          <w:lang w:val="en-US"/>
        </w:rPr>
        <w:t>Subrecipient/</w:t>
      </w:r>
      <w:r w:rsidR="003A350D" w:rsidRPr="00F14A0A">
        <w:rPr>
          <w:sz w:val="22"/>
          <w:highlight w:val="lightGray"/>
          <w:lang w:val="en-US"/>
        </w:rPr>
        <w:t xml:space="preserve">Agency </w:t>
      </w:r>
      <w:r w:rsidR="003A350D" w:rsidRPr="003A350D">
        <w:rPr>
          <w:sz w:val="22"/>
          <w:highlight w:val="lightGray"/>
          <w:lang w:val="en-US"/>
        </w:rPr>
        <w:t>N</w:t>
      </w:r>
      <w:r w:rsidR="003A350D" w:rsidRPr="00186F19">
        <w:rPr>
          <w:sz w:val="22"/>
          <w:highlight w:val="lightGray"/>
          <w:lang w:val="en-US"/>
        </w:rPr>
        <w:t>ame</w:t>
      </w:r>
      <w:r w:rsidR="003A350D">
        <w:rPr>
          <w:sz w:val="22"/>
          <w:lang w:val="en-US"/>
        </w:rPr>
        <w:t>]</w:t>
      </w:r>
      <w:r w:rsidRPr="00025586">
        <w:rPr>
          <w:sz w:val="22"/>
          <w:lang w:val="en-US"/>
        </w:rPr>
        <w:t xml:space="preserve"> </w:t>
      </w:r>
      <w:r w:rsidR="009B18DA" w:rsidRPr="009B18DA">
        <w:rPr>
          <w:sz w:val="22"/>
          <w:lang w:val="en-US"/>
        </w:rPr>
        <w:t xml:space="preserve">notified you that the </w:t>
      </w:r>
      <w:r w:rsidR="00FC199A" w:rsidRPr="00F14A0A">
        <w:rPr>
          <w:sz w:val="22"/>
          <w:lang w:val="en-US"/>
        </w:rPr>
        <w:t>[</w:t>
      </w:r>
      <w:r w:rsidR="00FC199A" w:rsidRPr="00F14A0A">
        <w:rPr>
          <w:sz w:val="22"/>
          <w:highlight w:val="lightGray"/>
          <w:lang w:val="en-US"/>
        </w:rPr>
        <w:t>Community Development Block Grant Program – Disaster Recovery (</w:t>
      </w:r>
      <w:r w:rsidR="00FC199A" w:rsidRPr="00F14A0A">
        <w:rPr>
          <w:b/>
          <w:bCs/>
          <w:sz w:val="22"/>
          <w:highlight w:val="lightGray"/>
          <w:lang w:val="en-US"/>
        </w:rPr>
        <w:t>CDBG-DR</w:t>
      </w:r>
      <w:r w:rsidR="00FC199A" w:rsidRPr="00F14A0A">
        <w:rPr>
          <w:sz w:val="22"/>
          <w:highlight w:val="lightGray"/>
          <w:lang w:val="en-US"/>
        </w:rPr>
        <w:t>) Program</w:t>
      </w:r>
      <w:r w:rsidR="00FC199A" w:rsidRPr="00F14A0A">
        <w:rPr>
          <w:sz w:val="22"/>
          <w:lang w:val="en-US"/>
        </w:rPr>
        <w:t>] [</w:t>
      </w:r>
      <w:r w:rsidR="00FC199A" w:rsidRPr="00F14A0A">
        <w:rPr>
          <w:sz w:val="22"/>
          <w:highlight w:val="lightGray"/>
          <w:lang w:val="en-US"/>
        </w:rPr>
        <w:t>Community Development Block Grant Program - Mitigation (</w:t>
      </w:r>
      <w:r w:rsidR="00FC199A" w:rsidRPr="00F14A0A">
        <w:rPr>
          <w:b/>
          <w:bCs/>
          <w:sz w:val="22"/>
          <w:highlight w:val="lightGray"/>
          <w:lang w:val="en-US"/>
        </w:rPr>
        <w:t>CDBG-MIT</w:t>
      </w:r>
      <w:r w:rsidR="00FC199A" w:rsidRPr="00F14A0A">
        <w:rPr>
          <w:sz w:val="22"/>
          <w:highlight w:val="lightGray"/>
          <w:lang w:val="en-US"/>
        </w:rPr>
        <w:t>) Program</w:t>
      </w:r>
      <w:r w:rsidR="00FC199A" w:rsidRPr="00F14A0A">
        <w:rPr>
          <w:sz w:val="22"/>
          <w:lang w:val="en-US"/>
        </w:rPr>
        <w:t>]</w:t>
      </w:r>
      <w:r w:rsidR="00FC199A" w:rsidRPr="00707C1D" w:rsidDel="00FC199A">
        <w:rPr>
          <w:sz w:val="22"/>
          <w:lang w:val="en-US"/>
        </w:rPr>
        <w:t xml:space="preserve"> </w:t>
      </w:r>
      <w:r w:rsidRPr="00025586">
        <w:rPr>
          <w:sz w:val="22"/>
          <w:lang w:val="en-US"/>
        </w:rPr>
        <w:t xml:space="preserve">(the </w:t>
      </w:r>
      <w:r w:rsidRPr="00025586">
        <w:rPr>
          <w:b/>
          <w:bCs/>
          <w:sz w:val="22"/>
          <w:lang w:val="en-US"/>
        </w:rPr>
        <w:t>Program</w:t>
      </w:r>
      <w:r w:rsidRPr="00025586">
        <w:rPr>
          <w:sz w:val="22"/>
          <w:lang w:val="en-US"/>
        </w:rPr>
        <w:t>)</w:t>
      </w:r>
      <w:r w:rsidR="00434F14">
        <w:rPr>
          <w:sz w:val="22"/>
          <w:lang w:val="en-US"/>
        </w:rPr>
        <w:t xml:space="preserve"> </w:t>
      </w:r>
      <w:r w:rsidRPr="00025586">
        <w:rPr>
          <w:sz w:val="22"/>
          <w:lang w:val="en-US"/>
        </w:rPr>
        <w:t xml:space="preserve">may provide assistance to support the acquisition, </w:t>
      </w:r>
      <w:proofErr w:type="gramStart"/>
      <w:r w:rsidRPr="00025586">
        <w:rPr>
          <w:sz w:val="22"/>
          <w:lang w:val="en-US"/>
        </w:rPr>
        <w:t>rehabilitation</w:t>
      </w:r>
      <w:proofErr w:type="gramEnd"/>
      <w:r w:rsidRPr="00025586">
        <w:rPr>
          <w:sz w:val="22"/>
          <w:lang w:val="en-US"/>
        </w:rPr>
        <w:t xml:space="preserve"> or reconstruction of the property you currently occupy, or formerly occupied at [</w:t>
      </w:r>
      <w:r w:rsidRPr="00025586">
        <w:rPr>
          <w:sz w:val="22"/>
          <w:highlight w:val="lightGray"/>
          <w:lang w:val="en-US"/>
        </w:rPr>
        <w:t>Property Address</w:t>
      </w:r>
      <w:r w:rsidRPr="00025586">
        <w:rPr>
          <w:sz w:val="22"/>
          <w:lang w:val="en-US"/>
        </w:rPr>
        <w:t>]</w:t>
      </w:r>
      <w:r w:rsidR="00FC199A">
        <w:rPr>
          <w:sz w:val="22"/>
          <w:lang w:val="en-US"/>
        </w:rPr>
        <w:t>, under the [</w:t>
      </w:r>
      <w:r w:rsidR="00FC199A" w:rsidRPr="00F14A0A">
        <w:rPr>
          <w:sz w:val="22"/>
          <w:highlight w:val="lightGray"/>
          <w:lang w:val="en-US"/>
        </w:rPr>
        <w:t>Program Name</w:t>
      </w:r>
      <w:r w:rsidR="00FC199A">
        <w:rPr>
          <w:sz w:val="22"/>
          <w:lang w:val="en-US"/>
        </w:rPr>
        <w:t>].</w:t>
      </w:r>
      <w:r w:rsidRPr="00025586">
        <w:rPr>
          <w:sz w:val="22"/>
          <w:lang w:val="en-US"/>
        </w:rPr>
        <w:t xml:space="preserve"> </w:t>
      </w:r>
    </w:p>
    <w:p w14:paraId="589BFBB6" w14:textId="77777777" w:rsidR="00025586" w:rsidRPr="00025586" w:rsidRDefault="00025586" w:rsidP="00025586">
      <w:pPr>
        <w:spacing w:after="0"/>
        <w:jc w:val="both"/>
        <w:rPr>
          <w:sz w:val="22"/>
          <w:lang w:val="en-US"/>
        </w:rPr>
      </w:pPr>
    </w:p>
    <w:p w14:paraId="59B01C86" w14:textId="7EFB8DB0" w:rsidR="00025586" w:rsidRDefault="00FC199A" w:rsidP="00025586">
      <w:pPr>
        <w:spacing w:after="0"/>
        <w:jc w:val="both"/>
        <w:rPr>
          <w:sz w:val="22"/>
          <w:lang w:val="en-US"/>
        </w:rPr>
      </w:pPr>
      <w:r>
        <w:rPr>
          <w:sz w:val="22"/>
          <w:lang w:val="en-US"/>
        </w:rPr>
        <w:t>Federally funded p</w:t>
      </w:r>
      <w:r w:rsidR="00025586" w:rsidRPr="00025586">
        <w:rPr>
          <w:sz w:val="22"/>
          <w:lang w:val="en-US"/>
        </w:rPr>
        <w:t xml:space="preserve">rojects </w:t>
      </w:r>
      <w:r>
        <w:rPr>
          <w:sz w:val="22"/>
          <w:lang w:val="en-US"/>
        </w:rPr>
        <w:t>which</w:t>
      </w:r>
      <w:r w:rsidR="00025586" w:rsidRPr="00025586">
        <w:rPr>
          <w:sz w:val="22"/>
          <w:lang w:val="en-US"/>
        </w:rPr>
        <w:t xml:space="preserve"> may result in the temporary or permanent displacement of households are subject to the rules of the Uniform Relocation Assistance and Real Property Acquisition Policies Act of 1970 (</w:t>
      </w:r>
      <w:r w:rsidR="00025586" w:rsidRPr="00025586">
        <w:rPr>
          <w:b/>
          <w:bCs/>
          <w:sz w:val="22"/>
          <w:lang w:val="en-US"/>
        </w:rPr>
        <w:t>URA</w:t>
      </w:r>
      <w:r w:rsidR="00025586" w:rsidRPr="00025586">
        <w:rPr>
          <w:sz w:val="22"/>
          <w:lang w:val="en-US"/>
        </w:rPr>
        <w:t xml:space="preserve">), as amended, 42 U.S.C. 4601 </w:t>
      </w:r>
      <w:r w:rsidR="00025586" w:rsidRPr="00025586">
        <w:rPr>
          <w:i/>
          <w:iCs/>
          <w:sz w:val="22"/>
          <w:lang w:val="en-US"/>
        </w:rPr>
        <w:t>et seq</w:t>
      </w:r>
      <w:r w:rsidR="00025586" w:rsidRPr="00025586">
        <w:rPr>
          <w:sz w:val="22"/>
          <w:lang w:val="en-US"/>
        </w:rPr>
        <w:t>., and Section 104(d) of the Housing and Community Development Act of 1974 (</w:t>
      </w:r>
      <w:r w:rsidR="00025586" w:rsidRPr="00025586">
        <w:rPr>
          <w:b/>
          <w:sz w:val="22"/>
          <w:lang w:val="en-US"/>
        </w:rPr>
        <w:t>HCDA</w:t>
      </w:r>
      <w:r w:rsidR="00025586" w:rsidRPr="00025586">
        <w:rPr>
          <w:sz w:val="22"/>
          <w:lang w:val="en-US"/>
        </w:rPr>
        <w:t xml:space="preserve">), as amended, 42 U.S.C. § 5304(d).  </w:t>
      </w:r>
    </w:p>
    <w:p w14:paraId="6C768690" w14:textId="77777777" w:rsidR="00025586" w:rsidRPr="00025586" w:rsidRDefault="00025586" w:rsidP="00025586">
      <w:pPr>
        <w:spacing w:after="0"/>
        <w:jc w:val="both"/>
        <w:rPr>
          <w:sz w:val="22"/>
          <w:lang w:val="en-US"/>
        </w:rPr>
      </w:pPr>
    </w:p>
    <w:p w14:paraId="2E79C530" w14:textId="77777777" w:rsidR="00025586" w:rsidRPr="00025586" w:rsidRDefault="00025586" w:rsidP="00025586">
      <w:pPr>
        <w:spacing w:after="0"/>
        <w:jc w:val="both"/>
        <w:rPr>
          <w:b/>
          <w:bCs/>
          <w:sz w:val="22"/>
          <w:lang w:val="en-US"/>
        </w:rPr>
      </w:pPr>
      <w:r w:rsidRPr="00025586">
        <w:rPr>
          <w:b/>
          <w:bCs/>
          <w:sz w:val="22"/>
          <w:lang w:val="en-US"/>
        </w:rPr>
        <w:t xml:space="preserve">This letter is intended to notify you that the Program has determined that you are ineligible to receive URA Relocation Assistance. </w:t>
      </w:r>
    </w:p>
    <w:p w14:paraId="108E837A" w14:textId="77777777" w:rsidR="00025586" w:rsidRPr="00025586" w:rsidRDefault="00025586" w:rsidP="00025586">
      <w:pPr>
        <w:spacing w:after="0"/>
        <w:jc w:val="both"/>
        <w:rPr>
          <w:sz w:val="22"/>
          <w:lang w:val="en-US"/>
        </w:rPr>
      </w:pPr>
    </w:p>
    <w:p w14:paraId="4656AC46" w14:textId="1377A80E" w:rsidR="00025586" w:rsidRPr="00025586" w:rsidRDefault="00025586" w:rsidP="00025586">
      <w:pPr>
        <w:spacing w:after="0"/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It has been determined that you are ineligible for URA Relocation Assistance due to</w:t>
      </w:r>
      <w:r w:rsidR="0059386F">
        <w:rPr>
          <w:sz w:val="22"/>
          <w:lang w:val="en-US"/>
        </w:rPr>
        <w:t xml:space="preserve"> the </w:t>
      </w:r>
      <w:r w:rsidRPr="00025586">
        <w:rPr>
          <w:sz w:val="22"/>
          <w:lang w:val="en-US"/>
        </w:rPr>
        <w:t>following reason</w:t>
      </w:r>
      <w:r w:rsidR="0059386F">
        <w:rPr>
          <w:sz w:val="22"/>
          <w:lang w:val="en-US"/>
        </w:rPr>
        <w:t>(</w:t>
      </w:r>
      <w:r w:rsidRPr="00025586">
        <w:rPr>
          <w:sz w:val="22"/>
          <w:lang w:val="en-US"/>
        </w:rPr>
        <w:t>s</w:t>
      </w:r>
      <w:r w:rsidR="0059386F">
        <w:rPr>
          <w:sz w:val="22"/>
          <w:lang w:val="en-US"/>
        </w:rPr>
        <w:t>)</w:t>
      </w:r>
      <w:r w:rsidRPr="00025586">
        <w:rPr>
          <w:sz w:val="22"/>
          <w:lang w:val="en-US"/>
        </w:rPr>
        <w:t>:</w:t>
      </w:r>
    </w:p>
    <w:p w14:paraId="061BC1D0" w14:textId="77777777" w:rsidR="00025586" w:rsidRPr="00025586" w:rsidRDefault="00025586" w:rsidP="00025586">
      <w:pPr>
        <w:pStyle w:val="NoSpacing"/>
      </w:pPr>
    </w:p>
    <w:p w14:paraId="71E70DDE" w14:textId="77777777" w:rsidR="00025586" w:rsidRPr="00025586" w:rsidRDefault="00025586" w:rsidP="00F14A0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Unlawful occupancy before the initiation of negotiations or project application.</w:t>
      </w:r>
      <w:r w:rsidRPr="00025586">
        <w:rPr>
          <w:rFonts w:ascii="Century Gothic" w:hAnsi="Century Gothic"/>
        </w:rPr>
        <w:t>]</w:t>
      </w:r>
    </w:p>
    <w:p w14:paraId="480BFE86" w14:textId="19696E20" w:rsidR="00025586" w:rsidRPr="00025586" w:rsidRDefault="00025586" w:rsidP="00F14A0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 xml:space="preserve">Household is not required to relocate from </w:t>
      </w:r>
      <w:r w:rsidR="00AF0B90">
        <w:rPr>
          <w:rFonts w:ascii="Century Gothic" w:hAnsi="Century Gothic"/>
          <w:highlight w:val="lightGray"/>
        </w:rPr>
        <w:t xml:space="preserve">the </w:t>
      </w:r>
      <w:r w:rsidRPr="00025586">
        <w:rPr>
          <w:rFonts w:ascii="Century Gothic" w:hAnsi="Century Gothic"/>
          <w:highlight w:val="lightGray"/>
        </w:rPr>
        <w:t xml:space="preserve">assisted housing unit for a minimum of one (1) day in order to complete program activities carried out </w:t>
      </w:r>
      <w:r w:rsidR="00AF0B90">
        <w:rPr>
          <w:rFonts w:ascii="Century Gothic" w:hAnsi="Century Gothic"/>
          <w:highlight w:val="lightGray"/>
        </w:rPr>
        <w:t xml:space="preserve">in </w:t>
      </w:r>
      <w:r w:rsidRPr="00025586">
        <w:rPr>
          <w:rFonts w:ascii="Century Gothic" w:hAnsi="Century Gothic"/>
          <w:highlight w:val="lightGray"/>
        </w:rPr>
        <w:t xml:space="preserve">the housing unit and other parts of the properties will maintain the housing unit being decent, </w:t>
      </w:r>
      <w:r w:rsidR="0059386F" w:rsidRPr="00025586">
        <w:rPr>
          <w:rFonts w:ascii="Century Gothic" w:hAnsi="Century Gothic"/>
          <w:highlight w:val="lightGray"/>
        </w:rPr>
        <w:t>safe,</w:t>
      </w:r>
      <w:r w:rsidRPr="00025586">
        <w:rPr>
          <w:rFonts w:ascii="Century Gothic" w:hAnsi="Century Gothic"/>
          <w:highlight w:val="lightGray"/>
        </w:rPr>
        <w:t xml:space="preserve"> and sanitary for habitation for a period of time exceeding eight (8) hours.</w:t>
      </w:r>
      <w:r w:rsidRPr="00025586">
        <w:rPr>
          <w:rFonts w:ascii="Century Gothic" w:hAnsi="Century Gothic"/>
        </w:rPr>
        <w:t xml:space="preserve">] </w:t>
      </w:r>
    </w:p>
    <w:p w14:paraId="0F3044B5" w14:textId="77777777" w:rsidR="00025586" w:rsidRPr="00025586" w:rsidRDefault="00025586" w:rsidP="00F14A0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Unlawful occupancy after the project application, and receipt of “Move-In Notice”.</w:t>
      </w:r>
      <w:r w:rsidRPr="00025586">
        <w:rPr>
          <w:rFonts w:ascii="Century Gothic" w:hAnsi="Century Gothic"/>
        </w:rPr>
        <w:t>]</w:t>
      </w:r>
    </w:p>
    <w:p w14:paraId="49C8880E" w14:textId="0F8247AE" w:rsidR="00025586" w:rsidRPr="00025586" w:rsidRDefault="00025586" w:rsidP="00F14A0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Household is not distinct from the household that applied to a CDBG-DR</w:t>
      </w:r>
      <w:r w:rsidR="00CD0033">
        <w:rPr>
          <w:rFonts w:ascii="Century Gothic" w:hAnsi="Century Gothic"/>
          <w:highlight w:val="lightGray"/>
        </w:rPr>
        <w:t>/MIT</w:t>
      </w:r>
      <w:r w:rsidRPr="00025586">
        <w:rPr>
          <w:rFonts w:ascii="Century Gothic" w:hAnsi="Century Gothic"/>
          <w:highlight w:val="lightGray"/>
        </w:rPr>
        <w:t xml:space="preserve"> </w:t>
      </w:r>
      <w:r w:rsidRPr="00025586">
        <w:rPr>
          <w:rFonts w:ascii="Century Gothic" w:hAnsi="Century Gothic"/>
          <w:highlight w:val="lightGray"/>
        </w:rPr>
        <w:lastRenderedPageBreak/>
        <w:t>Program.</w:t>
      </w:r>
      <w:r w:rsidRPr="00025586">
        <w:rPr>
          <w:rFonts w:ascii="Century Gothic" w:hAnsi="Century Gothic"/>
        </w:rPr>
        <w:t>]</w:t>
      </w:r>
    </w:p>
    <w:p w14:paraId="2D1852AF" w14:textId="234FB063" w:rsidR="00025586" w:rsidRPr="00025586" w:rsidRDefault="00025586" w:rsidP="00F14A0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Household was not occupying the property at the time CDBG-</w:t>
      </w:r>
      <w:r w:rsidR="00AF0B90">
        <w:rPr>
          <w:rFonts w:ascii="Century Gothic" w:hAnsi="Century Gothic"/>
          <w:highlight w:val="lightGray"/>
        </w:rPr>
        <w:t>DR/</w:t>
      </w:r>
      <w:r w:rsidR="00CD0033" w:rsidRPr="00AB5295">
        <w:rPr>
          <w:rFonts w:ascii="Century Gothic" w:hAnsi="Century Gothic"/>
          <w:highlight w:val="lightGray"/>
        </w:rPr>
        <w:t>MIT</w:t>
      </w:r>
      <w:r w:rsidRPr="00F14A0A">
        <w:rPr>
          <w:rFonts w:ascii="Century Gothic" w:hAnsi="Century Gothic"/>
        </w:rPr>
        <w:t xml:space="preserve"> </w:t>
      </w:r>
      <w:r w:rsidRPr="00025586">
        <w:rPr>
          <w:rFonts w:ascii="Century Gothic" w:hAnsi="Century Gothic"/>
          <w:highlight w:val="lightGray"/>
        </w:rPr>
        <w:t xml:space="preserve">Program-sponsored acquisition, rehabilitation, demolition, or reconstruction activities </w:t>
      </w:r>
      <w:r w:rsidR="00AF0B90">
        <w:rPr>
          <w:rFonts w:ascii="Century Gothic" w:hAnsi="Century Gothic"/>
          <w:highlight w:val="lightGray"/>
        </w:rPr>
        <w:t>were</w:t>
      </w:r>
      <w:r w:rsidR="00AF0B90" w:rsidRPr="00025586">
        <w:rPr>
          <w:rFonts w:ascii="Century Gothic" w:hAnsi="Century Gothic"/>
          <w:highlight w:val="lightGray"/>
        </w:rPr>
        <w:t xml:space="preserve"> </w:t>
      </w:r>
      <w:r w:rsidRPr="00025586">
        <w:rPr>
          <w:rFonts w:ascii="Century Gothic" w:hAnsi="Century Gothic"/>
          <w:highlight w:val="lightGray"/>
        </w:rPr>
        <w:t>scheduled to commence.</w:t>
      </w:r>
      <w:r w:rsidRPr="00025586">
        <w:rPr>
          <w:rFonts w:ascii="Century Gothic" w:hAnsi="Century Gothic"/>
        </w:rPr>
        <w:t>]</w:t>
      </w:r>
    </w:p>
    <w:p w14:paraId="1928D5FF" w14:textId="6C699165" w:rsidR="00025586" w:rsidRPr="00025586" w:rsidRDefault="00025586" w:rsidP="00F14A0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</w:rPr>
      </w:pPr>
      <w:r w:rsidRPr="00025586">
        <w:rPr>
          <w:rFonts w:ascii="Century Gothic" w:hAnsi="Century Gothic"/>
        </w:rPr>
        <w:t>[</w:t>
      </w:r>
      <w:r w:rsidRPr="00025586">
        <w:rPr>
          <w:rFonts w:ascii="Century Gothic" w:hAnsi="Century Gothic"/>
          <w:highlight w:val="lightGray"/>
        </w:rPr>
        <w:t>Not lawfully present in the United States.</w:t>
      </w:r>
      <w:r w:rsidR="002667EF">
        <w:rPr>
          <w:rStyle w:val="FootnoteReference"/>
          <w:rFonts w:ascii="Century Gothic" w:hAnsi="Century Gothic"/>
          <w:highlight w:val="lightGray"/>
        </w:rPr>
        <w:footnoteReference w:id="1"/>
      </w:r>
      <w:r w:rsidRPr="00025586">
        <w:rPr>
          <w:rFonts w:ascii="Century Gothic" w:hAnsi="Century Gothic"/>
        </w:rPr>
        <w:t>]</w:t>
      </w:r>
    </w:p>
    <w:p w14:paraId="4EA669FB" w14:textId="77777777" w:rsidR="00025586" w:rsidRPr="00025586" w:rsidRDefault="00025586" w:rsidP="00025586">
      <w:pPr>
        <w:spacing w:after="0"/>
        <w:jc w:val="both"/>
        <w:rPr>
          <w:sz w:val="22"/>
          <w:lang w:val="en-US"/>
        </w:rPr>
      </w:pPr>
    </w:p>
    <w:p w14:paraId="613CB3EC" w14:textId="4E840955" w:rsidR="00025586" w:rsidRPr="00025586" w:rsidRDefault="00025586" w:rsidP="00025586">
      <w:pPr>
        <w:spacing w:after="0"/>
        <w:jc w:val="both"/>
        <w:rPr>
          <w:sz w:val="22"/>
          <w:lang w:val="en-US"/>
        </w:rPr>
      </w:pPr>
      <w:r w:rsidRPr="00025586" w:rsidDel="005506D3">
        <w:rPr>
          <w:sz w:val="22"/>
          <w:lang w:val="en-US"/>
        </w:rPr>
        <w:t xml:space="preserve">In accordance with 49 C.F.R. </w:t>
      </w:r>
      <w:r w:rsidRPr="00025586" w:rsidDel="00B32F3F">
        <w:rPr>
          <w:sz w:val="22"/>
          <w:lang w:val="en-US"/>
        </w:rPr>
        <w:t>§</w:t>
      </w:r>
      <w:r w:rsidRPr="00025586" w:rsidDel="005506D3">
        <w:rPr>
          <w:sz w:val="22"/>
          <w:lang w:val="en-US"/>
        </w:rPr>
        <w:t xml:space="preserve"> 24.10, you have the right to file a written appeal with</w:t>
      </w:r>
      <w:r w:rsidR="00AF0B90" w:rsidRPr="006711FB">
        <w:rPr>
          <w:sz w:val="22"/>
          <w:lang w:val="en-US"/>
        </w:rPr>
        <w:t xml:space="preserve"> the</w:t>
      </w:r>
      <w:r w:rsidRPr="006711FB" w:rsidDel="005506D3">
        <w:rPr>
          <w:sz w:val="22"/>
          <w:lang w:val="en-US"/>
        </w:rPr>
        <w:t xml:space="preserve"> </w:t>
      </w:r>
      <w:r w:rsidR="00AF0B90" w:rsidRPr="00263076">
        <w:rPr>
          <w:sz w:val="22"/>
          <w:lang w:val="en-US"/>
        </w:rPr>
        <w:t>Puerto Rico Department of Housing (</w:t>
      </w:r>
      <w:r w:rsidR="00AF0B90" w:rsidRPr="00263076">
        <w:rPr>
          <w:b/>
          <w:bCs/>
          <w:sz w:val="22"/>
          <w:lang w:val="en-US"/>
        </w:rPr>
        <w:t>PRDOH</w:t>
      </w:r>
      <w:r w:rsidR="00AF0B90" w:rsidRPr="00263076">
        <w:rPr>
          <w:sz w:val="22"/>
          <w:lang w:val="en-US"/>
        </w:rPr>
        <w:t>), as the grantee, in any case when it is believed that [</w:t>
      </w:r>
      <w:r w:rsidR="00AF0B90" w:rsidRPr="00263076">
        <w:rPr>
          <w:sz w:val="22"/>
          <w:highlight w:val="lightGray"/>
          <w:lang w:val="en-US"/>
        </w:rPr>
        <w:t>Subrecipient/Agency Name</w:t>
      </w:r>
      <w:r w:rsidR="00AF0B90" w:rsidRPr="00263076">
        <w:rPr>
          <w:sz w:val="22"/>
          <w:lang w:val="en-US"/>
        </w:rPr>
        <w:t xml:space="preserve">] </w:t>
      </w:r>
      <w:r w:rsidRPr="00025586" w:rsidDel="005506D3">
        <w:rPr>
          <w:sz w:val="22"/>
          <w:lang w:val="en-US"/>
        </w:rPr>
        <w:t>has failed to properly determine or provide</w:t>
      </w:r>
      <w:r w:rsidRPr="00025586">
        <w:rPr>
          <w:sz w:val="22"/>
          <w:lang w:val="en-US"/>
        </w:rPr>
        <w:t xml:space="preserve"> assistance under URA.</w:t>
      </w:r>
      <w:r w:rsidRPr="00025586" w:rsidDel="005506D3">
        <w:rPr>
          <w:sz w:val="22"/>
          <w:lang w:val="en-US"/>
        </w:rPr>
        <w:t xml:space="preserve"> </w:t>
      </w:r>
      <w:r w:rsidRPr="00025586">
        <w:rPr>
          <w:rFonts w:eastAsia="Times New Roman"/>
          <w:color w:val="171717"/>
          <w:sz w:val="22"/>
          <w:lang w:val="en-US"/>
        </w:rPr>
        <w:t xml:space="preserve">If you disagree with the determination notified in this </w:t>
      </w:r>
      <w:r w:rsidR="002667EF">
        <w:rPr>
          <w:rFonts w:eastAsia="Times New Roman"/>
          <w:color w:val="171717"/>
          <w:sz w:val="22"/>
          <w:lang w:val="en-US"/>
        </w:rPr>
        <w:t>notification</w:t>
      </w:r>
      <w:r w:rsidRPr="00025586">
        <w:rPr>
          <w:rFonts w:eastAsia="Times New Roman"/>
          <w:color w:val="171717"/>
          <w:sz w:val="22"/>
          <w:lang w:val="en-US"/>
        </w:rPr>
        <w:t>, you may file a written appeal to the Program.</w:t>
      </w:r>
      <w:r w:rsidRPr="00025586" w:rsidDel="005506D3">
        <w:rPr>
          <w:sz w:val="22"/>
          <w:lang w:val="en-US"/>
        </w:rPr>
        <w:t xml:space="preserve"> Appeals must be submitted within </w:t>
      </w:r>
      <w:r w:rsidRPr="00025586" w:rsidDel="005506D3">
        <w:rPr>
          <w:b/>
          <w:bCs/>
          <w:sz w:val="22"/>
          <w:lang w:val="en-US"/>
        </w:rPr>
        <w:t>sixty (60) days</w:t>
      </w:r>
      <w:r w:rsidRPr="00025586" w:rsidDel="005506D3">
        <w:rPr>
          <w:sz w:val="22"/>
          <w:lang w:val="en-US"/>
        </w:rPr>
        <w:t xml:space="preserve"> of the date you received </w:t>
      </w:r>
      <w:r w:rsidRPr="00025586">
        <w:rPr>
          <w:sz w:val="22"/>
          <w:lang w:val="en-US"/>
        </w:rPr>
        <w:t xml:space="preserve">this </w:t>
      </w:r>
      <w:r w:rsidRPr="00025586" w:rsidDel="005506D3">
        <w:rPr>
          <w:sz w:val="22"/>
          <w:lang w:val="en-US"/>
        </w:rPr>
        <w:t xml:space="preserve">notification and </w:t>
      </w:r>
      <w:r w:rsidRPr="00025586">
        <w:rPr>
          <w:sz w:val="22"/>
          <w:lang w:val="en-US"/>
        </w:rPr>
        <w:t xml:space="preserve">must be sent in </w:t>
      </w:r>
      <w:r w:rsidRPr="00025586">
        <w:rPr>
          <w:rFonts w:eastAsia="Times New Roman"/>
          <w:color w:val="171717"/>
          <w:sz w:val="22"/>
          <w:lang w:val="en-US"/>
        </w:rPr>
        <w:t>writing via electronic or postal mail to:</w:t>
      </w:r>
      <w:r w:rsidR="002256E7">
        <w:rPr>
          <w:rFonts w:eastAsia="Times New Roman"/>
          <w:color w:val="171717"/>
          <w:sz w:val="22"/>
          <w:lang w:val="en-US"/>
        </w:rPr>
        <w:t xml:space="preserve"> </w:t>
      </w:r>
    </w:p>
    <w:p w14:paraId="70CF5A98" w14:textId="77777777" w:rsidR="00025586" w:rsidRPr="00025586" w:rsidRDefault="00025586" w:rsidP="00025586">
      <w:pPr>
        <w:pStyle w:val="Default"/>
        <w:jc w:val="both"/>
        <w:rPr>
          <w:sz w:val="22"/>
          <w:szCs w:val="22"/>
        </w:rPr>
      </w:pPr>
    </w:p>
    <w:p w14:paraId="5DD36EB4" w14:textId="1A636CDA" w:rsidR="00025586" w:rsidRPr="00592DDA" w:rsidRDefault="00025586" w:rsidP="00263076">
      <w:pPr>
        <w:ind w:left="1890" w:hanging="1530"/>
        <w:rPr>
          <w:rFonts w:eastAsia="Times New Roman"/>
          <w:color w:val="171717"/>
        </w:rPr>
      </w:pPr>
      <w:r w:rsidRPr="00263076">
        <w:rPr>
          <w:rFonts w:eastAsia="Times New Roman"/>
          <w:color w:val="171717"/>
          <w:sz w:val="22"/>
        </w:rPr>
        <w:t>Email:</w:t>
      </w:r>
      <w:r w:rsidRPr="00263076">
        <w:rPr>
          <w:rFonts w:eastAsia="Times New Roman"/>
          <w:color w:val="171717"/>
          <w:sz w:val="22"/>
        </w:rPr>
        <w:tab/>
      </w:r>
      <w:hyperlink r:id="rId8" w:history="1"/>
      <w:hyperlink r:id="rId9" w:history="1">
        <w:r w:rsidR="00AF0B90" w:rsidRPr="00263076">
          <w:rPr>
            <w:rStyle w:val="Hyperlink"/>
            <w:sz w:val="22"/>
          </w:rPr>
          <w:t>fairhousing@vivienda.pr.gov</w:t>
        </w:r>
      </w:hyperlink>
    </w:p>
    <w:p w14:paraId="134AE867" w14:textId="77777777" w:rsidR="00025586" w:rsidRPr="0059386F" w:rsidRDefault="00025586" w:rsidP="00025586">
      <w:pPr>
        <w:rPr>
          <w:rFonts w:eastAsia="Times New Roman"/>
          <w:color w:val="171717"/>
          <w:sz w:val="22"/>
        </w:rPr>
      </w:pPr>
    </w:p>
    <w:p w14:paraId="3BC2784E" w14:textId="6FB82F89" w:rsidR="00025586" w:rsidRPr="00263076" w:rsidRDefault="00025586" w:rsidP="00263076">
      <w:pPr>
        <w:spacing w:after="0"/>
        <w:ind w:left="1800" w:hanging="1440"/>
        <w:rPr>
          <w:rFonts w:eastAsia="Times New Roman"/>
          <w:color w:val="171717"/>
          <w:lang w:val="es-PR"/>
        </w:rPr>
      </w:pPr>
      <w:r w:rsidRPr="00263076">
        <w:rPr>
          <w:rFonts w:eastAsia="Times New Roman"/>
          <w:color w:val="171717"/>
          <w:sz w:val="22"/>
          <w:lang w:val="es-PR"/>
        </w:rPr>
        <w:t xml:space="preserve">Postal Mail: </w:t>
      </w:r>
      <w:r w:rsidRPr="00263076">
        <w:rPr>
          <w:rFonts w:eastAsia="Times New Roman"/>
          <w:color w:val="171717"/>
          <w:sz w:val="22"/>
          <w:lang w:val="es-PR"/>
        </w:rPr>
        <w:tab/>
      </w:r>
      <w:r w:rsidR="000476B5" w:rsidRPr="00263076">
        <w:rPr>
          <w:rFonts w:eastAsia="Times New Roman"/>
          <w:color w:val="171717"/>
          <w:sz w:val="22"/>
          <w:lang w:val="es-PR"/>
        </w:rPr>
        <w:t xml:space="preserve"> </w:t>
      </w:r>
      <w:r w:rsidRPr="00263076">
        <w:rPr>
          <w:rFonts w:eastAsia="Times New Roman"/>
          <w:color w:val="171717"/>
          <w:sz w:val="22"/>
          <w:lang w:val="es-PR"/>
        </w:rPr>
        <w:t>Puerto Rico CDBG-DR</w:t>
      </w:r>
      <w:r w:rsidR="00CD0033" w:rsidRPr="00263076">
        <w:rPr>
          <w:rFonts w:eastAsia="Times New Roman"/>
          <w:color w:val="171717"/>
          <w:sz w:val="22"/>
          <w:lang w:val="es-PR"/>
        </w:rPr>
        <w:t>/MIT</w:t>
      </w:r>
      <w:r w:rsidRPr="00263076">
        <w:rPr>
          <w:rFonts w:eastAsia="Times New Roman"/>
          <w:color w:val="171717"/>
          <w:sz w:val="22"/>
          <w:lang w:val="es-PR"/>
        </w:rPr>
        <w:t xml:space="preserve"> Program</w:t>
      </w:r>
    </w:p>
    <w:p w14:paraId="2E8E2DB7" w14:textId="1673833F" w:rsidR="00025586" w:rsidRPr="0059386F" w:rsidRDefault="00025586" w:rsidP="00263076">
      <w:pPr>
        <w:spacing w:after="0"/>
        <w:ind w:left="1890"/>
        <w:contextualSpacing/>
        <w:rPr>
          <w:rFonts w:eastAsia="Times New Roman"/>
          <w:color w:val="171717"/>
          <w:sz w:val="22"/>
          <w:lang w:val="en-US"/>
        </w:rPr>
      </w:pPr>
      <w:r w:rsidRPr="0059386F">
        <w:rPr>
          <w:rFonts w:eastAsia="Times New Roman"/>
          <w:color w:val="171717"/>
          <w:sz w:val="22"/>
          <w:lang w:val="en-US"/>
        </w:rPr>
        <w:t xml:space="preserve">ATTN: URA Appeals- </w:t>
      </w:r>
      <w:r w:rsidR="00AF0B90" w:rsidRPr="0059386F">
        <w:rPr>
          <w:rFonts w:eastAsia="Times New Roman"/>
          <w:color w:val="171717"/>
          <w:sz w:val="22"/>
          <w:lang w:val="en-US"/>
        </w:rPr>
        <w:t xml:space="preserve">Federal Compliance </w:t>
      </w:r>
      <w:r w:rsidR="002667EF">
        <w:rPr>
          <w:rFonts w:eastAsia="Times New Roman"/>
          <w:color w:val="171717"/>
          <w:sz w:val="22"/>
          <w:lang w:val="en-US"/>
        </w:rPr>
        <w:t xml:space="preserve">and Subrecipient Management </w:t>
      </w:r>
      <w:r w:rsidRPr="0059386F">
        <w:rPr>
          <w:rFonts w:eastAsia="Times New Roman"/>
          <w:color w:val="171717"/>
          <w:sz w:val="22"/>
          <w:lang w:val="en-US"/>
        </w:rPr>
        <w:t>Division</w:t>
      </w:r>
    </w:p>
    <w:p w14:paraId="1F7C961B" w14:textId="77777777" w:rsidR="00025586" w:rsidRPr="0059386F" w:rsidRDefault="00025586" w:rsidP="00263076">
      <w:pPr>
        <w:spacing w:after="0"/>
        <w:ind w:left="1890"/>
        <w:contextualSpacing/>
        <w:rPr>
          <w:rFonts w:eastAsia="Times New Roman"/>
          <w:color w:val="171717"/>
          <w:sz w:val="22"/>
          <w:lang w:val="es-PR"/>
        </w:rPr>
      </w:pPr>
      <w:r w:rsidRPr="0059386F">
        <w:rPr>
          <w:rFonts w:eastAsia="Times New Roman"/>
          <w:color w:val="171717"/>
          <w:sz w:val="22"/>
          <w:lang w:val="es-PR"/>
        </w:rPr>
        <w:t>P.O. Box 21365</w:t>
      </w:r>
    </w:p>
    <w:p w14:paraId="09974E5F" w14:textId="77777777" w:rsidR="00025586" w:rsidRPr="0059386F" w:rsidRDefault="00025586" w:rsidP="00263076">
      <w:pPr>
        <w:spacing w:after="0"/>
        <w:ind w:left="1890"/>
        <w:contextualSpacing/>
        <w:rPr>
          <w:rFonts w:eastAsia="Times New Roman"/>
          <w:color w:val="171717"/>
          <w:sz w:val="22"/>
          <w:lang w:val="es-PR"/>
        </w:rPr>
      </w:pPr>
      <w:r w:rsidRPr="0059386F">
        <w:rPr>
          <w:rFonts w:eastAsia="Times New Roman"/>
          <w:color w:val="171717"/>
          <w:sz w:val="22"/>
          <w:lang w:val="es-PR"/>
        </w:rPr>
        <w:t>San Juan, PR 00928-1365</w:t>
      </w:r>
    </w:p>
    <w:p w14:paraId="0CA64DB5" w14:textId="77777777" w:rsidR="00025586" w:rsidRPr="000874D1" w:rsidRDefault="00025586" w:rsidP="00F14A0A">
      <w:pPr>
        <w:spacing w:after="0"/>
        <w:rPr>
          <w:lang w:val="es-PR"/>
        </w:rPr>
      </w:pPr>
    </w:p>
    <w:p w14:paraId="4015BCCE" w14:textId="64C94F36" w:rsidR="00E6206B" w:rsidRDefault="00025586" w:rsidP="00F14A0A">
      <w:pPr>
        <w:jc w:val="both"/>
        <w:rPr>
          <w:sz w:val="22"/>
          <w:lang w:val="en-US"/>
        </w:rPr>
      </w:pPr>
      <w:r w:rsidRPr="00E6206B">
        <w:rPr>
          <w:rFonts w:eastAsia="Times New Roman"/>
          <w:color w:val="171717"/>
          <w:sz w:val="22"/>
          <w:lang w:val="en-US"/>
        </w:rPr>
        <w:t xml:space="preserve">After receipt of all information submitted in support of an appeal, PRDOH shall make a written determination on the appeal within </w:t>
      </w:r>
      <w:r w:rsidRPr="00E6206B">
        <w:rPr>
          <w:rFonts w:eastAsia="Times New Roman"/>
          <w:b/>
          <w:bCs/>
          <w:color w:val="171717"/>
          <w:sz w:val="22"/>
          <w:lang w:val="en-US"/>
        </w:rPr>
        <w:t>thirty (30) calendar days</w:t>
      </w:r>
      <w:r w:rsidRPr="00E6206B">
        <w:rPr>
          <w:rFonts w:eastAsia="Times New Roman"/>
          <w:color w:val="171717"/>
          <w:sz w:val="22"/>
          <w:lang w:val="en-US"/>
        </w:rPr>
        <w:t xml:space="preserve">, including an explanation on the basis of which the decision was made, and furnish the person </w:t>
      </w:r>
      <w:r w:rsidR="00E6206B">
        <w:rPr>
          <w:rFonts w:eastAsia="Times New Roman"/>
          <w:color w:val="171717"/>
          <w:sz w:val="22"/>
          <w:lang w:val="en-US"/>
        </w:rPr>
        <w:t xml:space="preserve">with </w:t>
      </w:r>
      <w:r w:rsidRPr="00E6206B">
        <w:rPr>
          <w:rFonts w:eastAsia="Times New Roman"/>
          <w:color w:val="171717"/>
          <w:sz w:val="22"/>
          <w:lang w:val="en-US"/>
        </w:rPr>
        <w:t>a copy.</w:t>
      </w:r>
    </w:p>
    <w:p w14:paraId="7B12E440" w14:textId="410A00DB" w:rsidR="00025586" w:rsidRPr="00F14A0A" w:rsidRDefault="00025586" w:rsidP="00F14A0A">
      <w:pPr>
        <w:spacing w:after="0"/>
        <w:jc w:val="both"/>
        <w:rPr>
          <w:rFonts w:eastAsia="Times New Roman"/>
          <w:color w:val="171717"/>
          <w:sz w:val="22"/>
          <w:lang w:val="en-US"/>
        </w:rPr>
      </w:pPr>
      <w:r w:rsidRPr="00F14A0A">
        <w:rPr>
          <w:sz w:val="22"/>
          <w:lang w:val="en-US"/>
        </w:rPr>
        <w:t xml:space="preserve">For more </w:t>
      </w:r>
      <w:r w:rsidR="00F2032E" w:rsidRPr="00F14A0A">
        <w:rPr>
          <w:sz w:val="22"/>
          <w:lang w:val="en-US"/>
        </w:rPr>
        <w:t>the appeal process under the URA, you can access the CDBG-DR/MIT Uniform Relocation Assistance Guide &amp; Residential Anti-Displacement and Relocation Assistance Plan (URA &amp; ADP Guide), in</w:t>
      </w:r>
      <w:r w:rsidR="00F2032E" w:rsidRPr="00F14A0A" w:rsidDel="00F2032E">
        <w:rPr>
          <w:sz w:val="22"/>
          <w:lang w:val="en-US"/>
        </w:rPr>
        <w:t xml:space="preserve"> </w:t>
      </w:r>
      <w:r w:rsidRPr="00F14A0A">
        <w:rPr>
          <w:sz w:val="22"/>
          <w:lang w:val="en-US"/>
        </w:rPr>
        <w:t xml:space="preserve">English and Spanish, at </w:t>
      </w:r>
      <w:hyperlink r:id="rId10" w:history="1">
        <w:r w:rsidRPr="00F14A0A">
          <w:rPr>
            <w:rStyle w:val="Hyperlink"/>
            <w:sz w:val="22"/>
            <w:lang w:val="en-US"/>
          </w:rPr>
          <w:t>https://cdbg-dr.pr.gov/en/download/ura-adp-guidelines/</w:t>
        </w:r>
      </w:hyperlink>
      <w:r w:rsidRPr="00F14A0A">
        <w:rPr>
          <w:sz w:val="22"/>
          <w:lang w:val="en-US"/>
        </w:rPr>
        <w:t xml:space="preserve"> and </w:t>
      </w:r>
      <w:hyperlink r:id="rId11" w:history="1">
        <w:r w:rsidRPr="00F14A0A">
          <w:rPr>
            <w:rStyle w:val="Hyperlink"/>
            <w:sz w:val="22"/>
            <w:lang w:val="en-US"/>
          </w:rPr>
          <w:t>https://cdbg-dr.pr.gov/download/guias-ura-adp/</w:t>
        </w:r>
      </w:hyperlink>
      <w:r w:rsidRPr="00F14A0A">
        <w:rPr>
          <w:sz w:val="22"/>
          <w:lang w:val="en-US"/>
        </w:rPr>
        <w:t xml:space="preserve">. </w:t>
      </w:r>
    </w:p>
    <w:p w14:paraId="3A833C3A" w14:textId="77777777" w:rsidR="00E6206B" w:rsidRDefault="00E6206B" w:rsidP="00025586">
      <w:pPr>
        <w:spacing w:after="0"/>
        <w:jc w:val="both"/>
        <w:rPr>
          <w:sz w:val="22"/>
          <w:lang w:val="en-US"/>
        </w:rPr>
      </w:pPr>
    </w:p>
    <w:p w14:paraId="1ECB7798" w14:textId="70E273D9" w:rsidR="00025586" w:rsidRPr="00025586" w:rsidRDefault="00025586" w:rsidP="00025586">
      <w:pPr>
        <w:spacing w:after="0"/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If you have any questions, please contact your URA Case Manager [</w:t>
      </w:r>
      <w:r w:rsidRPr="00025586">
        <w:rPr>
          <w:sz w:val="22"/>
          <w:highlight w:val="lightGray"/>
          <w:lang w:val="en-US"/>
        </w:rPr>
        <w:t>URA Case Manager Name</w:t>
      </w:r>
      <w:r w:rsidRPr="00025586">
        <w:rPr>
          <w:sz w:val="22"/>
          <w:lang w:val="en-US"/>
        </w:rPr>
        <w:t>] at [</w:t>
      </w:r>
      <w:r w:rsidRPr="00025586">
        <w:rPr>
          <w:sz w:val="22"/>
          <w:highlight w:val="lightGray"/>
          <w:lang w:val="en-US"/>
        </w:rPr>
        <w:t>(XXX)XXX-XXXX</w:t>
      </w:r>
      <w:r w:rsidRPr="00025586">
        <w:rPr>
          <w:sz w:val="22"/>
          <w:lang w:val="en-US"/>
        </w:rPr>
        <w:t>] or by email at [</w:t>
      </w:r>
      <w:r w:rsidRPr="00025586">
        <w:rPr>
          <w:sz w:val="22"/>
          <w:highlight w:val="lightGray"/>
          <w:lang w:val="en-US"/>
        </w:rPr>
        <w:t>XXXX@XXXXX.com</w:t>
      </w:r>
      <w:r w:rsidRPr="00025586">
        <w:rPr>
          <w:sz w:val="22"/>
          <w:lang w:val="en-US"/>
        </w:rPr>
        <w:t>]. Please keep this letter for your records.</w:t>
      </w:r>
    </w:p>
    <w:p w14:paraId="69FE711C" w14:textId="77777777" w:rsidR="00025586" w:rsidRPr="00025586" w:rsidRDefault="00025586" w:rsidP="00025586">
      <w:pPr>
        <w:jc w:val="both"/>
        <w:rPr>
          <w:sz w:val="22"/>
          <w:lang w:val="en-US"/>
        </w:rPr>
      </w:pPr>
    </w:p>
    <w:p w14:paraId="61461F9A" w14:textId="77777777" w:rsidR="00025586" w:rsidRPr="00025586" w:rsidRDefault="00025586" w:rsidP="00025586">
      <w:pPr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Sincerely,</w:t>
      </w:r>
    </w:p>
    <w:p w14:paraId="5A374E61" w14:textId="77777777" w:rsidR="00025586" w:rsidRPr="00025586" w:rsidRDefault="00025586" w:rsidP="00025586">
      <w:pPr>
        <w:jc w:val="both"/>
        <w:rPr>
          <w:sz w:val="22"/>
          <w:lang w:val="en-US"/>
        </w:rPr>
      </w:pPr>
    </w:p>
    <w:p w14:paraId="63CAA280" w14:textId="77777777" w:rsidR="00025586" w:rsidRPr="00025586" w:rsidRDefault="00025586" w:rsidP="00025586">
      <w:pPr>
        <w:spacing w:after="0" w:line="240" w:lineRule="auto"/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[</w:t>
      </w:r>
      <w:r w:rsidRPr="00025586">
        <w:rPr>
          <w:sz w:val="22"/>
          <w:highlight w:val="lightGray"/>
          <w:lang w:val="en-US"/>
        </w:rPr>
        <w:t>Digital Signature</w:t>
      </w:r>
      <w:r w:rsidRPr="00025586">
        <w:rPr>
          <w:sz w:val="22"/>
          <w:lang w:val="en-US"/>
        </w:rPr>
        <w:t>]</w:t>
      </w:r>
    </w:p>
    <w:p w14:paraId="6FC8F79E" w14:textId="77777777" w:rsidR="00025586" w:rsidRPr="00025586" w:rsidRDefault="00025586" w:rsidP="00025586">
      <w:pPr>
        <w:spacing w:after="0" w:line="240" w:lineRule="auto"/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[</w:t>
      </w:r>
      <w:r w:rsidRPr="00025586">
        <w:rPr>
          <w:sz w:val="22"/>
          <w:highlight w:val="lightGray"/>
          <w:lang w:val="en-US"/>
        </w:rPr>
        <w:t>URA Case Manager Name</w:t>
      </w:r>
      <w:r w:rsidRPr="00025586">
        <w:rPr>
          <w:sz w:val="22"/>
          <w:lang w:val="en-US"/>
        </w:rPr>
        <w:t>]</w:t>
      </w:r>
    </w:p>
    <w:p w14:paraId="0BD0508D" w14:textId="77777777" w:rsidR="00025586" w:rsidRPr="00025586" w:rsidRDefault="00025586" w:rsidP="00025586">
      <w:pPr>
        <w:spacing w:after="0" w:line="240" w:lineRule="auto"/>
        <w:jc w:val="both"/>
        <w:rPr>
          <w:sz w:val="22"/>
          <w:lang w:val="en-US"/>
        </w:rPr>
      </w:pPr>
      <w:r w:rsidRPr="00025586">
        <w:rPr>
          <w:sz w:val="22"/>
          <w:lang w:val="en-US"/>
        </w:rPr>
        <w:t>URA Case Manager</w:t>
      </w:r>
    </w:p>
    <w:p w14:paraId="518501BF" w14:textId="37950CAF" w:rsidR="00C744B1" w:rsidRPr="00025586" w:rsidRDefault="003A350D">
      <w:pPr>
        <w:rPr>
          <w:lang w:val="en-US"/>
        </w:rPr>
      </w:pPr>
      <w:r>
        <w:rPr>
          <w:sz w:val="22"/>
          <w:lang w:val="en-US"/>
        </w:rPr>
        <w:t>[</w:t>
      </w:r>
      <w:r w:rsidR="00F2032E">
        <w:rPr>
          <w:sz w:val="22"/>
          <w:highlight w:val="lightGray"/>
          <w:lang w:val="en-US"/>
        </w:rPr>
        <w:t>Subrecipient/</w:t>
      </w:r>
      <w:r w:rsidRPr="00F14A0A">
        <w:rPr>
          <w:sz w:val="22"/>
          <w:highlight w:val="lightGray"/>
          <w:lang w:val="en-US"/>
        </w:rPr>
        <w:t>Agency Name</w:t>
      </w:r>
      <w:r>
        <w:rPr>
          <w:sz w:val="22"/>
          <w:lang w:val="en-US"/>
        </w:rPr>
        <w:t>]</w:t>
      </w:r>
    </w:p>
    <w:sectPr w:rsidR="00C744B1" w:rsidRPr="00025586" w:rsidSect="00F14A0A">
      <w:headerReference w:type="even" r:id="rId12"/>
      <w:head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5B99" w14:textId="77777777" w:rsidR="006039B6" w:rsidRDefault="006039B6" w:rsidP="00082177">
      <w:pPr>
        <w:spacing w:after="0" w:line="240" w:lineRule="auto"/>
      </w:pPr>
      <w:r>
        <w:separator/>
      </w:r>
    </w:p>
  </w:endnote>
  <w:endnote w:type="continuationSeparator" w:id="0">
    <w:p w14:paraId="2F6E1B0B" w14:textId="77777777" w:rsidR="006039B6" w:rsidRDefault="006039B6" w:rsidP="000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BB86" w14:textId="7F3162A3" w:rsidR="00D30319" w:rsidRPr="00263076" w:rsidRDefault="00FC199A" w:rsidP="00F14A0A">
    <w:pPr>
      <w:pStyle w:val="NormalWeb"/>
      <w:spacing w:before="0" w:beforeAutospacing="0" w:after="0" w:afterAutospacing="0"/>
      <w:jc w:val="center"/>
      <w:rPr>
        <w:rFonts w:ascii="Century Gothic" w:hAnsi="Century Gothic"/>
        <w:sz w:val="28"/>
      </w:rPr>
    </w:pPr>
    <w:r w:rsidRPr="001700B7">
      <w:rPr>
        <w:rFonts w:ascii="Century Gothic" w:hAnsi="Century Gothic"/>
      </w:rPr>
      <w:t>[</w:t>
    </w:r>
    <w:r w:rsidRPr="001700B7">
      <w:rPr>
        <w:rFonts w:ascii="Century Gothic" w:hAnsi="Century Gothic"/>
        <w:highlight w:val="lightGray"/>
      </w:rPr>
      <w:t>INSERT FOOTER</w:t>
    </w:r>
    <w:r w:rsidRPr="001700B7">
      <w:rPr>
        <w:rFonts w:ascii="Century Gothic" w:hAnsi="Century Gothic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6D9F" w14:textId="77777777" w:rsidR="006039B6" w:rsidRDefault="006039B6" w:rsidP="00082177">
      <w:pPr>
        <w:spacing w:after="0" w:line="240" w:lineRule="auto"/>
      </w:pPr>
      <w:r>
        <w:separator/>
      </w:r>
    </w:p>
  </w:footnote>
  <w:footnote w:type="continuationSeparator" w:id="0">
    <w:p w14:paraId="0FEDF444" w14:textId="77777777" w:rsidR="006039B6" w:rsidRDefault="006039B6" w:rsidP="00082177">
      <w:pPr>
        <w:spacing w:after="0" w:line="240" w:lineRule="auto"/>
      </w:pPr>
      <w:r>
        <w:continuationSeparator/>
      </w:r>
    </w:p>
  </w:footnote>
  <w:footnote w:id="1">
    <w:p w14:paraId="28FBB8D1" w14:textId="6330D16E" w:rsidR="002667EF" w:rsidRPr="00263076" w:rsidRDefault="002667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63076">
        <w:rPr>
          <w:lang w:val="en-US"/>
        </w:rPr>
        <w:t xml:space="preserve"> </w:t>
      </w:r>
      <w:r w:rsidRPr="00263076">
        <w:rPr>
          <w:sz w:val="16"/>
          <w:szCs w:val="16"/>
          <w:lang w:val="en-US"/>
        </w:rPr>
        <w:t>Any person who is an alien not lawfully present in the United States is ineligible for relocation assistance unless such ineligibility would cause extremely unusual hardship to a qualifying spouse, parent, or child.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6B13" w14:textId="77777777" w:rsidR="00D30319" w:rsidRPr="00D30319" w:rsidRDefault="00D30319" w:rsidP="00D30319">
    <w:pPr>
      <w:pStyle w:val="Header"/>
      <w:ind w:left="-720" w:right="-864"/>
      <w:jc w:val="right"/>
      <w:rPr>
        <w:sz w:val="18"/>
        <w:lang w:val="en-US"/>
      </w:rPr>
    </w:pPr>
    <w:r w:rsidRPr="00D30319">
      <w:rPr>
        <w:sz w:val="18"/>
        <w:lang w:val="en-US"/>
      </w:rPr>
      <w:t>CDBG-DR Program</w:t>
    </w:r>
  </w:p>
  <w:p w14:paraId="72CDB302" w14:textId="77777777" w:rsidR="00D30319" w:rsidRPr="00D30319" w:rsidRDefault="00D30319" w:rsidP="00D30319">
    <w:pPr>
      <w:pStyle w:val="Header"/>
      <w:ind w:left="-720" w:right="-864"/>
      <w:jc w:val="right"/>
      <w:rPr>
        <w:sz w:val="18"/>
        <w:lang w:val="en-US"/>
      </w:rPr>
    </w:pPr>
    <w:r w:rsidRPr="00D30319">
      <w:rPr>
        <w:sz w:val="18"/>
        <w:highlight w:val="yellow"/>
        <w:lang w:val="en-US"/>
      </w:rPr>
      <w:t>[Add Topic/Program Name, etc.]</w:t>
    </w:r>
  </w:p>
  <w:p w14:paraId="58593E46" w14:textId="77777777" w:rsidR="00D30319" w:rsidRPr="005303F8" w:rsidRDefault="00D30319" w:rsidP="00D30319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14:paraId="72B6E8A8" w14:textId="77777777" w:rsidR="00D30319" w:rsidRDefault="00D30319" w:rsidP="00D30319">
    <w:pPr>
      <w:pStyle w:val="Header"/>
      <w:ind w:righ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68CE" w14:textId="77777777" w:rsidR="00FC199A" w:rsidRPr="0077281A" w:rsidRDefault="00FC199A" w:rsidP="00FC199A">
    <w:pPr>
      <w:pStyle w:val="Header"/>
      <w:ind w:left="-720"/>
      <w:jc w:val="right"/>
      <w:rPr>
        <w:sz w:val="18"/>
        <w:lang w:val="en-US"/>
      </w:rPr>
    </w:pPr>
    <w:bookmarkStart w:id="0" w:name="_Hlk112330355"/>
    <w:bookmarkStart w:id="1" w:name="_Hlk112243297"/>
    <w:r w:rsidRPr="0077281A">
      <w:rPr>
        <w:sz w:val="18"/>
        <w:lang w:val="en-US"/>
      </w:rPr>
      <w:t>[</w:t>
    </w:r>
    <w:r w:rsidRPr="0077281A">
      <w:rPr>
        <w:sz w:val="18"/>
        <w:highlight w:val="lightGray"/>
        <w:lang w:val="en-US"/>
      </w:rPr>
      <w:t>CDBG-DR</w:t>
    </w:r>
    <w:r w:rsidRPr="0077281A">
      <w:rPr>
        <w:sz w:val="18"/>
        <w:lang w:val="en-US"/>
      </w:rPr>
      <w:t>] [</w:t>
    </w:r>
    <w:r w:rsidRPr="0077281A">
      <w:rPr>
        <w:sz w:val="18"/>
        <w:highlight w:val="lightGray"/>
        <w:lang w:val="en-US"/>
      </w:rPr>
      <w:t>CDBG-MIT</w:t>
    </w:r>
    <w:r w:rsidRPr="0077281A">
      <w:rPr>
        <w:sz w:val="18"/>
        <w:lang w:val="en-US"/>
      </w:rPr>
      <w:t>]</w:t>
    </w:r>
    <w:bookmarkEnd w:id="0"/>
    <w:r w:rsidRPr="0077281A">
      <w:rPr>
        <w:sz w:val="18"/>
        <w:lang w:val="en-US"/>
      </w:rPr>
      <w:t xml:space="preserve"> </w:t>
    </w:r>
    <w:bookmarkEnd w:id="1"/>
    <w:r w:rsidRPr="0077281A">
      <w:rPr>
        <w:sz w:val="18"/>
        <w:lang w:val="en-US"/>
      </w:rPr>
      <w:t>Program</w:t>
    </w:r>
  </w:p>
  <w:p w14:paraId="7363C883" w14:textId="77777777" w:rsidR="0073140F" w:rsidRPr="00F14A0A" w:rsidRDefault="0073140F" w:rsidP="0073140F">
    <w:pPr>
      <w:pStyle w:val="Header"/>
      <w:ind w:left="-720"/>
      <w:jc w:val="right"/>
      <w:rPr>
        <w:sz w:val="18"/>
        <w:lang w:val="en-US"/>
      </w:rPr>
    </w:pPr>
    <w:r w:rsidRPr="00F14A0A">
      <w:rPr>
        <w:sz w:val="18"/>
        <w:highlight w:val="lightGray"/>
        <w:lang w:val="en-US"/>
      </w:rPr>
      <w:t>[Program Name]</w:t>
    </w:r>
  </w:p>
  <w:p w14:paraId="7F50EB8B" w14:textId="46365B9F" w:rsidR="00025586" w:rsidRPr="00025586" w:rsidRDefault="00025586" w:rsidP="00025586">
    <w:pPr>
      <w:pStyle w:val="Header"/>
      <w:ind w:left="-720"/>
      <w:jc w:val="right"/>
      <w:rPr>
        <w:sz w:val="18"/>
        <w:lang w:val="en-US"/>
      </w:rPr>
    </w:pPr>
    <w:r w:rsidRPr="00025586">
      <w:rPr>
        <w:sz w:val="18"/>
        <w:lang w:val="en-US"/>
      </w:rPr>
      <w:t>URA</w:t>
    </w:r>
    <w:r w:rsidR="00AB5295">
      <w:rPr>
        <w:sz w:val="18"/>
        <w:lang w:val="en-US"/>
      </w:rPr>
      <w:t>-</w:t>
    </w:r>
    <w:r w:rsidRPr="00025586">
      <w:rPr>
        <w:sz w:val="18"/>
        <w:lang w:val="en-US"/>
      </w:rPr>
      <w:t>Notice of Ineligibility</w:t>
    </w:r>
  </w:p>
  <w:p w14:paraId="5E69278F" w14:textId="5527F25E" w:rsidR="00025586" w:rsidRPr="00F14A0A" w:rsidRDefault="00025586" w:rsidP="00025586">
    <w:pPr>
      <w:pStyle w:val="Header"/>
      <w:ind w:left="-720"/>
      <w:jc w:val="right"/>
      <w:rPr>
        <w:sz w:val="18"/>
        <w:lang w:val="en-US"/>
      </w:rPr>
    </w:pPr>
    <w:r w:rsidRPr="00F14A0A">
      <w:rPr>
        <w:sz w:val="18"/>
        <w:lang w:val="en-US"/>
      </w:rPr>
      <w:t xml:space="preserve">Page </w:t>
    </w:r>
    <w:r w:rsidRPr="005303F8">
      <w:rPr>
        <w:sz w:val="18"/>
      </w:rPr>
      <w:fldChar w:fldCharType="begin"/>
    </w:r>
    <w:r w:rsidRPr="00F14A0A">
      <w:rPr>
        <w:sz w:val="18"/>
        <w:lang w:val="en-US"/>
      </w:rPr>
      <w:instrText xml:space="preserve"> PAGE   \* MERGEFORMAT </w:instrText>
    </w:r>
    <w:r w:rsidRPr="005303F8">
      <w:rPr>
        <w:sz w:val="18"/>
      </w:rPr>
      <w:fldChar w:fldCharType="separate"/>
    </w:r>
    <w:r w:rsidR="00BF08DA">
      <w:rPr>
        <w:noProof/>
        <w:sz w:val="18"/>
        <w:lang w:val="en-US"/>
      </w:rPr>
      <w:t>3</w:t>
    </w:r>
    <w:r w:rsidRPr="005303F8">
      <w:rPr>
        <w:sz w:val="18"/>
      </w:rPr>
      <w:fldChar w:fldCharType="end"/>
    </w:r>
    <w:r w:rsidRPr="00F14A0A">
      <w:rPr>
        <w:sz w:val="18"/>
        <w:lang w:val="en-US"/>
      </w:rPr>
      <w:t xml:space="preserve"> / </w:t>
    </w:r>
    <w:r w:rsidRPr="005303F8">
      <w:rPr>
        <w:sz w:val="18"/>
      </w:rPr>
      <w:fldChar w:fldCharType="begin"/>
    </w:r>
    <w:r w:rsidRPr="00F14A0A">
      <w:rPr>
        <w:sz w:val="18"/>
        <w:lang w:val="en-US"/>
      </w:rPr>
      <w:instrText xml:space="preserve"> NUMPAGES   \* MERGEFORMAT </w:instrText>
    </w:r>
    <w:r w:rsidRPr="005303F8">
      <w:rPr>
        <w:sz w:val="18"/>
      </w:rPr>
      <w:fldChar w:fldCharType="separate"/>
    </w:r>
    <w:r w:rsidR="00BF08DA">
      <w:rPr>
        <w:noProof/>
        <w:sz w:val="18"/>
        <w:lang w:val="en-US"/>
      </w:rPr>
      <w:t>3</w:t>
    </w:r>
    <w:r w:rsidRPr="005303F8">
      <w:rPr>
        <w:sz w:val="18"/>
      </w:rPr>
      <w:fldChar w:fldCharType="end"/>
    </w:r>
  </w:p>
  <w:p w14:paraId="127E9096" w14:textId="77777777" w:rsidR="0073140F" w:rsidRPr="00F14A0A" w:rsidRDefault="0073140F" w:rsidP="00263076">
    <w:pPr>
      <w:pStyle w:val="Header"/>
      <w:rPr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1170" w14:textId="77777777" w:rsidR="00FC199A" w:rsidRDefault="00FC199A" w:rsidP="00FC199A">
    <w:pPr>
      <w:pStyle w:val="Header"/>
    </w:pPr>
    <w:bookmarkStart w:id="2" w:name="_Hlk112244281"/>
    <w:bookmarkStart w:id="3" w:name="_Hlk112244282"/>
    <w:bookmarkStart w:id="4" w:name="_Hlk112245263"/>
    <w:bookmarkStart w:id="5" w:name="_Hlk112245264"/>
    <w:bookmarkStart w:id="6" w:name="_Hlk112334315"/>
    <w:bookmarkStart w:id="7" w:name="_Hlk112334316"/>
    <w:bookmarkStart w:id="8" w:name="_Hlk112757252"/>
    <w:bookmarkStart w:id="9" w:name="_Hlk112757253"/>
    <w:bookmarkStart w:id="10" w:name="_Hlk115341026"/>
    <w:bookmarkStart w:id="11" w:name="_Hlk115341027"/>
  </w:p>
  <w:p w14:paraId="45C7D5D2" w14:textId="77777777" w:rsidR="00FC199A" w:rsidRPr="00CF7EBD" w:rsidRDefault="00FC199A" w:rsidP="00FC199A">
    <w:pPr>
      <w:pStyle w:val="Header"/>
      <w:tabs>
        <w:tab w:val="clear" w:pos="4680"/>
        <w:tab w:val="clear" w:pos="9360"/>
        <w:tab w:val="left" w:pos="2684"/>
      </w:tabs>
    </w:pPr>
    <w:r>
      <w:tab/>
    </w:r>
    <w:r>
      <w:tab/>
    </w:r>
  </w:p>
  <w:p w14:paraId="1E62B4DB" w14:textId="77777777" w:rsidR="00FC199A" w:rsidRDefault="00FC199A" w:rsidP="00FC199A">
    <w:pPr>
      <w:pStyle w:val="Header"/>
      <w:tabs>
        <w:tab w:val="clear" w:pos="4680"/>
        <w:tab w:val="clear" w:pos="9360"/>
        <w:tab w:val="left" w:pos="2573"/>
      </w:tabs>
      <w:jc w:val="right"/>
      <w:rPr>
        <w:sz w:val="16"/>
        <w:szCs w:val="16"/>
      </w:rPr>
    </w:pPr>
    <w:r>
      <w:rPr>
        <w:iCs/>
        <w:noProof/>
        <w:lang w:val="en-US"/>
      </w:rPr>
      <w:drawing>
        <wp:anchor distT="0" distB="0" distL="114300" distR="114300" simplePos="0" relativeHeight="251669504" behindDoc="1" locked="0" layoutInCell="1" allowOverlap="1" wp14:anchorId="40039A05" wp14:editId="65389758">
          <wp:simplePos x="0" y="0"/>
          <wp:positionH relativeFrom="column">
            <wp:posOffset>-245533</wp:posOffset>
          </wp:positionH>
          <wp:positionV relativeFrom="page">
            <wp:posOffset>618067</wp:posOffset>
          </wp:positionV>
          <wp:extent cx="1701165" cy="6826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1376">
      <w:rPr>
        <w:sz w:val="16"/>
        <w:szCs w:val="16"/>
      </w:rPr>
      <w:t xml:space="preserve"> </w:t>
    </w:r>
  </w:p>
  <w:p w14:paraId="4BC0E7AF" w14:textId="14C0B10B" w:rsidR="00FC199A" w:rsidRPr="006F68BE" w:rsidRDefault="00FC199A" w:rsidP="00FC199A">
    <w:pPr>
      <w:pStyle w:val="Header"/>
      <w:tabs>
        <w:tab w:val="clear" w:pos="4680"/>
        <w:tab w:val="clear" w:pos="9360"/>
        <w:tab w:val="left" w:pos="2573"/>
      </w:tabs>
      <w:jc w:val="right"/>
      <w:rPr>
        <w:lang w:val="es-ES_tradnl"/>
      </w:rPr>
    </w:pPr>
    <w:r w:rsidRPr="006F68BE">
      <w:rPr>
        <w:sz w:val="16"/>
        <w:szCs w:val="16"/>
        <w:lang w:val="es-ES_tradnl"/>
      </w:rPr>
      <w:t>V</w:t>
    </w:r>
    <w:r>
      <w:rPr>
        <w:sz w:val="16"/>
        <w:szCs w:val="16"/>
        <w:lang w:val="es-ES_tradnl"/>
      </w:rPr>
      <w:t>.1</w:t>
    </w:r>
    <w:r w:rsidRPr="006F68BE">
      <w:rPr>
        <w:sz w:val="16"/>
        <w:szCs w:val="16"/>
        <w:lang w:val="es-ES_tradnl"/>
      </w:rPr>
      <w:t xml:space="preserve"> | </w:t>
    </w:r>
    <w:r w:rsidR="00263076">
      <w:rPr>
        <w:sz w:val="16"/>
        <w:szCs w:val="16"/>
        <w:lang/>
      </w:rPr>
      <w:t>12</w:t>
    </w:r>
    <w:r w:rsidRPr="006F68BE">
      <w:rPr>
        <w:sz w:val="16"/>
        <w:szCs w:val="16"/>
        <w:lang w:val="es-ES_tradnl"/>
      </w:rPr>
      <w:t>-</w:t>
    </w:r>
    <w:r w:rsidR="00263076">
      <w:rPr>
        <w:sz w:val="16"/>
        <w:szCs w:val="16"/>
        <w:lang/>
      </w:rPr>
      <w:t>21</w:t>
    </w:r>
    <w:r w:rsidRPr="006F68BE">
      <w:rPr>
        <w:sz w:val="16"/>
        <w:szCs w:val="16"/>
        <w:lang w:val="es-ES_tradnl"/>
      </w:rPr>
      <w:t>-</w:t>
    </w:r>
    <w:r>
      <w:rPr>
        <w:sz w:val="16"/>
        <w:szCs w:val="16"/>
        <w:lang w:val="es-ES_tradnl"/>
      </w:rPr>
      <w:t>2022</w:t>
    </w:r>
    <w:r w:rsidRPr="006F68BE">
      <w:rPr>
        <w:lang w:val="es-ES_tradnl"/>
      </w:rPr>
      <w:t xml:space="preserve">                  </w:t>
    </w:r>
  </w:p>
  <w:p w14:paraId="42851245" w14:textId="77777777" w:rsidR="00FC199A" w:rsidRPr="006F68BE" w:rsidRDefault="00FC199A" w:rsidP="00FC199A">
    <w:pPr>
      <w:pStyle w:val="Header"/>
      <w:tabs>
        <w:tab w:val="clear" w:pos="4680"/>
        <w:tab w:val="clear" w:pos="9360"/>
        <w:tab w:val="left" w:pos="2573"/>
      </w:tabs>
      <w:jc w:val="right"/>
      <w:rPr>
        <w:i/>
        <w:iCs/>
        <w:lang w:val="es-ES_tradnl"/>
      </w:rPr>
    </w:pPr>
  </w:p>
  <w:p w14:paraId="66BFA092" w14:textId="3E5C8A46" w:rsidR="00643237" w:rsidRDefault="00FC199A">
    <w:pPr>
      <w:pStyle w:val="Header"/>
    </w:pPr>
    <w:r w:rsidRPr="006F68BE">
      <w:rPr>
        <w:lang w:val="es-ES_tradnl"/>
      </w:rPr>
      <w:t xml:space="preserve">                  </w:t>
    </w:r>
    <w:r w:rsidRPr="006F68BE">
      <w:rPr>
        <w:lang w:val="es-ES_tradnl"/>
      </w:rPr>
      <w:tab/>
    </w:r>
    <w:r w:rsidRPr="006F68BE">
      <w:rPr>
        <w:b/>
        <w:lang w:val="es-ES_tradnl"/>
      </w:rPr>
      <w:t xml:space="preserve">                </w:t>
    </w:r>
    <w:r w:rsidRPr="006F68BE">
      <w:rPr>
        <w:b/>
        <w:lang w:val="es-ES_tradnl"/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ED7"/>
    <w:multiLevelType w:val="hybridMultilevel"/>
    <w:tmpl w:val="7FAC5C8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zU1MDe0MLA0MLVU0lEKTi0uzszPAykwqgUAmf2h6CwAAAA="/>
  </w:docVars>
  <w:rsids>
    <w:rsidRoot w:val="00025586"/>
    <w:rsid w:val="00000B68"/>
    <w:rsid w:val="0000548D"/>
    <w:rsid w:val="00025586"/>
    <w:rsid w:val="0004752F"/>
    <w:rsid w:val="000476B5"/>
    <w:rsid w:val="000676F5"/>
    <w:rsid w:val="00082177"/>
    <w:rsid w:val="000874D1"/>
    <w:rsid w:val="000A6888"/>
    <w:rsid w:val="000B163F"/>
    <w:rsid w:val="000D06FC"/>
    <w:rsid w:val="000E0F52"/>
    <w:rsid w:val="00101568"/>
    <w:rsid w:val="001024C1"/>
    <w:rsid w:val="00113BBC"/>
    <w:rsid w:val="001C05EB"/>
    <w:rsid w:val="0022264F"/>
    <w:rsid w:val="002256E7"/>
    <w:rsid w:val="00263076"/>
    <w:rsid w:val="002667EF"/>
    <w:rsid w:val="00275324"/>
    <w:rsid w:val="002E1487"/>
    <w:rsid w:val="00317838"/>
    <w:rsid w:val="00320582"/>
    <w:rsid w:val="00396095"/>
    <w:rsid w:val="003A350D"/>
    <w:rsid w:val="003B7D49"/>
    <w:rsid w:val="003D1F71"/>
    <w:rsid w:val="003E7A1E"/>
    <w:rsid w:val="00434F14"/>
    <w:rsid w:val="00456BE4"/>
    <w:rsid w:val="004874D3"/>
    <w:rsid w:val="005321AF"/>
    <w:rsid w:val="00572703"/>
    <w:rsid w:val="00592DDA"/>
    <w:rsid w:val="0059386F"/>
    <w:rsid w:val="00593A53"/>
    <w:rsid w:val="005A37D0"/>
    <w:rsid w:val="005B221D"/>
    <w:rsid w:val="005C3916"/>
    <w:rsid w:val="006039B6"/>
    <w:rsid w:val="00621BFF"/>
    <w:rsid w:val="00643237"/>
    <w:rsid w:val="00644583"/>
    <w:rsid w:val="006632C1"/>
    <w:rsid w:val="00663910"/>
    <w:rsid w:val="006711FB"/>
    <w:rsid w:val="00707C1D"/>
    <w:rsid w:val="0073140F"/>
    <w:rsid w:val="007323D4"/>
    <w:rsid w:val="0077281A"/>
    <w:rsid w:val="0083284E"/>
    <w:rsid w:val="008A6F7C"/>
    <w:rsid w:val="00974006"/>
    <w:rsid w:val="009B18DA"/>
    <w:rsid w:val="009D3F47"/>
    <w:rsid w:val="009F0F77"/>
    <w:rsid w:val="00A06524"/>
    <w:rsid w:val="00A11455"/>
    <w:rsid w:val="00A16B17"/>
    <w:rsid w:val="00A434F8"/>
    <w:rsid w:val="00A55F14"/>
    <w:rsid w:val="00A93FD5"/>
    <w:rsid w:val="00AB5295"/>
    <w:rsid w:val="00AE660F"/>
    <w:rsid w:val="00AF0B90"/>
    <w:rsid w:val="00B207D8"/>
    <w:rsid w:val="00B4699B"/>
    <w:rsid w:val="00BF08DA"/>
    <w:rsid w:val="00C16DD2"/>
    <w:rsid w:val="00C27DC9"/>
    <w:rsid w:val="00C744B1"/>
    <w:rsid w:val="00CA26B0"/>
    <w:rsid w:val="00CD0033"/>
    <w:rsid w:val="00D30319"/>
    <w:rsid w:val="00D6395F"/>
    <w:rsid w:val="00DB79DE"/>
    <w:rsid w:val="00DC7045"/>
    <w:rsid w:val="00DF0DA0"/>
    <w:rsid w:val="00E042DF"/>
    <w:rsid w:val="00E25A83"/>
    <w:rsid w:val="00E6206B"/>
    <w:rsid w:val="00EB50BB"/>
    <w:rsid w:val="00EB7A36"/>
    <w:rsid w:val="00F14A0A"/>
    <w:rsid w:val="00F2032E"/>
    <w:rsid w:val="00F51064"/>
    <w:rsid w:val="00F55B5B"/>
    <w:rsid w:val="00F75DAF"/>
    <w:rsid w:val="00F933EE"/>
    <w:rsid w:val="00FC199A"/>
    <w:rsid w:val="00FC2BC0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EBC93"/>
  <w15:chartTrackingRefBased/>
  <w15:docId w15:val="{5ED30303-CF25-41E3-8DDF-AD52A83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BC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character" w:styleId="Hyperlink">
    <w:name w:val="Hyperlink"/>
    <w:basedOn w:val="DefaultParagraphFont"/>
    <w:uiPriority w:val="99"/>
    <w:unhideWhenUsed/>
    <w:rsid w:val="003178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25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5586"/>
    <w:rPr>
      <w:rFonts w:ascii="Calibri" w:eastAsia="Calibri" w:hAnsi="Calibri" w:cs="Calibri"/>
      <w:sz w:val="21"/>
      <w:szCs w:val="21"/>
      <w:lang w:val="en-US" w:bidi="en-US"/>
    </w:rPr>
  </w:style>
  <w:style w:type="paragraph" w:styleId="NoSpacing">
    <w:name w:val="No Spacing"/>
    <w:link w:val="NoSpacingChar"/>
    <w:uiPriority w:val="1"/>
    <w:qFormat/>
    <w:rsid w:val="00025586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25586"/>
    <w:rPr>
      <w:rFonts w:ascii="Calibri" w:eastAsia="MS Mincho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5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586"/>
    <w:rPr>
      <w:rFonts w:ascii="Calibri" w:eastAsia="Calibri" w:hAnsi="Calibri" w:cs="Calibri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02558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sz w:val="22"/>
      <w:lang w:val="en-US" w:bidi="en-US"/>
    </w:rPr>
  </w:style>
  <w:style w:type="paragraph" w:customStyle="1" w:styleId="Default">
    <w:name w:val="Default"/>
    <w:rsid w:val="000255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3A53"/>
    <w:pPr>
      <w:spacing w:after="0" w:line="240" w:lineRule="auto"/>
    </w:pPr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FC1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8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DDA"/>
    <w:pPr>
      <w:widowControl/>
      <w:autoSpaceDE/>
      <w:autoSpaceDN/>
      <w:spacing w:after="160"/>
    </w:pPr>
    <w:rPr>
      <w:rFonts w:ascii="Century Gothic" w:eastAsiaTheme="minorHAnsi" w:hAnsi="Century Gothic" w:cstheme="minorBidi"/>
      <w:b/>
      <w:bCs/>
      <w:lang w:val="es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DDA"/>
    <w:rPr>
      <w:rFonts w:ascii="Century Gothic" w:eastAsia="Calibri" w:hAnsi="Century Gothic" w:cs="Calibri"/>
      <w:b/>
      <w:bCs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7EF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bg-dr.pr.gov/download/guias-ura-ad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dbg-dr.pr.gov/en/download/ura-adp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lCDBG@vivienda.pr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jillo\Desktop\Formatting%20Examples%20by%20PRDOH\Templates\New%20Correspondence\ADM_POLI_Template_%20PRDOH%20CDG-DR%20Correspondence%20202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7E87-6F8D-4AF5-9819-BEB1E99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2021_EN</Template>
  <TotalTime>84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Trujillo</dc:creator>
  <cp:keywords/>
  <dc:description/>
  <cp:lastModifiedBy>Cristina Trujillo</cp:lastModifiedBy>
  <cp:revision>26</cp:revision>
  <dcterms:created xsi:type="dcterms:W3CDTF">2022-05-13T05:07:00Z</dcterms:created>
  <dcterms:modified xsi:type="dcterms:W3CDTF">2022-12-27T14:02:00Z</dcterms:modified>
</cp:coreProperties>
</file>