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EEBD" w14:textId="77777777" w:rsidR="00697A54" w:rsidRPr="00846A14" w:rsidRDefault="00697A54" w:rsidP="001678E7">
      <w:pPr>
        <w:pBdr>
          <w:bottom w:val="single" w:sz="12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4C1763A" w14:textId="3BCA76D4" w:rsidR="00EA6604" w:rsidRPr="00846A14" w:rsidRDefault="001023C8" w:rsidP="001678E7">
      <w:pPr>
        <w:pBdr>
          <w:bottom w:val="single" w:sz="12" w:space="1" w:color="auto"/>
        </w:pBdr>
        <w:jc w:val="both"/>
        <w:rPr>
          <w:rFonts w:ascii="Century Gothic" w:hAnsi="Century Gothic"/>
          <w:b/>
          <w:bCs/>
          <w:sz w:val="52"/>
          <w:szCs w:val="52"/>
        </w:rPr>
      </w:pPr>
      <w:r w:rsidRPr="00846A14">
        <w:rPr>
          <w:rFonts w:ascii="Century Gothic" w:hAnsi="Century Gothic"/>
          <w:b/>
          <w:bCs/>
          <w:sz w:val="40"/>
          <w:szCs w:val="40"/>
        </w:rPr>
        <w:t>URA Relocation Plan Templat</w:t>
      </w:r>
      <w:r w:rsidR="003D79E0" w:rsidRPr="00846A14">
        <w:rPr>
          <w:rFonts w:ascii="Century Gothic" w:hAnsi="Century Gothic"/>
          <w:b/>
          <w:bCs/>
          <w:sz w:val="40"/>
          <w:szCs w:val="40"/>
        </w:rPr>
        <w:t>e</w:t>
      </w:r>
    </w:p>
    <w:p w14:paraId="5040FC4C" w14:textId="5FBDC12C" w:rsidR="00661EDC" w:rsidRPr="00846A14" w:rsidRDefault="00661EDC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>Overview</w:t>
      </w:r>
    </w:p>
    <w:p w14:paraId="4238CEEF" w14:textId="5CE96E13" w:rsidR="004426BF" w:rsidRDefault="00463FB8" w:rsidP="00C16333">
      <w:pPr>
        <w:pBdr>
          <w:bottom w:val="single" w:sz="12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16333" w:rsidRPr="00C16333">
        <w:rPr>
          <w:rFonts w:ascii="Century Gothic" w:hAnsi="Century Gothic"/>
        </w:rPr>
        <w:t xml:space="preserve">ll activities </w:t>
      </w:r>
      <w:r>
        <w:rPr>
          <w:rFonts w:ascii="Century Gothic" w:hAnsi="Century Gothic"/>
        </w:rPr>
        <w:t>funded with CDBG-DR</w:t>
      </w:r>
      <w:r w:rsidR="000054D7">
        <w:rPr>
          <w:rFonts w:ascii="Century Gothic" w:hAnsi="Century Gothic"/>
        </w:rPr>
        <w:t xml:space="preserve"> and CDBG-</w:t>
      </w:r>
      <w:r>
        <w:rPr>
          <w:rFonts w:ascii="Century Gothic" w:hAnsi="Century Gothic"/>
        </w:rPr>
        <w:t>MIT funds</w:t>
      </w:r>
      <w:r w:rsidR="00C16333" w:rsidRPr="00C16333">
        <w:rPr>
          <w:rFonts w:ascii="Century Gothic" w:hAnsi="Century Gothic"/>
        </w:rPr>
        <w:t xml:space="preserve"> are subject to the provisions of the Uniform Relocation Assistance and Real Property Acquisition Policies Act of 1970 (</w:t>
      </w:r>
      <w:r w:rsidR="00C16333" w:rsidRPr="00846A14">
        <w:rPr>
          <w:rFonts w:ascii="Century Gothic" w:hAnsi="Century Gothic"/>
          <w:b/>
        </w:rPr>
        <w:t>URA</w:t>
      </w:r>
      <w:r w:rsidR="00C16333" w:rsidRPr="00C16333">
        <w:rPr>
          <w:rFonts w:ascii="Century Gothic" w:hAnsi="Century Gothic"/>
        </w:rPr>
        <w:t xml:space="preserve">), as amended, 42 U.S.C. § 4601 </w:t>
      </w:r>
      <w:r w:rsidR="00C16333" w:rsidRPr="00846A14">
        <w:rPr>
          <w:rFonts w:ascii="Century Gothic" w:hAnsi="Century Gothic"/>
          <w:i/>
        </w:rPr>
        <w:t>et seq</w:t>
      </w:r>
      <w:r w:rsidR="00C16333">
        <w:rPr>
          <w:rFonts w:ascii="Century Gothic" w:hAnsi="Century Gothic"/>
        </w:rPr>
        <w:t xml:space="preserve">. </w:t>
      </w:r>
      <w:r w:rsidR="004426BF" w:rsidRPr="00846A14">
        <w:rPr>
          <w:rFonts w:ascii="Century Gothic" w:hAnsi="Century Gothic"/>
        </w:rPr>
        <w:t xml:space="preserve">Each </w:t>
      </w:r>
      <w:r w:rsidR="004426BF" w:rsidRPr="00846A14">
        <w:rPr>
          <w:rFonts w:ascii="Century Gothic" w:hAnsi="Century Gothic"/>
          <w:bCs/>
        </w:rPr>
        <w:t>URA</w:t>
      </w:r>
      <w:r w:rsidR="004426BF" w:rsidRPr="00846A14">
        <w:rPr>
          <w:rFonts w:ascii="Century Gothic" w:hAnsi="Century Gothic"/>
        </w:rPr>
        <w:t xml:space="preserve"> Relocation Plan will differ according to the project’s scope and </w:t>
      </w:r>
      <w:r>
        <w:rPr>
          <w:rFonts w:ascii="Century Gothic" w:hAnsi="Century Gothic"/>
        </w:rPr>
        <w:t xml:space="preserve">the </w:t>
      </w:r>
      <w:r w:rsidR="009E3870" w:rsidRPr="00846A14">
        <w:rPr>
          <w:rFonts w:ascii="Century Gothic" w:hAnsi="Century Gothic"/>
        </w:rPr>
        <w:t>occupant’s needs. The information</w:t>
      </w:r>
      <w:r>
        <w:rPr>
          <w:rFonts w:ascii="Century Gothic" w:hAnsi="Century Gothic"/>
        </w:rPr>
        <w:t xml:space="preserve"> below</w:t>
      </w:r>
      <w:r w:rsidR="009E3870" w:rsidRPr="00846A14">
        <w:rPr>
          <w:rFonts w:ascii="Century Gothic" w:hAnsi="Century Gothic"/>
        </w:rPr>
        <w:t xml:space="preserve"> provides a brief overview of the</w:t>
      </w:r>
      <w:r w:rsidR="004460E6" w:rsidRPr="00846A14">
        <w:rPr>
          <w:rFonts w:ascii="Century Gothic" w:hAnsi="Century Gothic"/>
        </w:rPr>
        <w:t xml:space="preserve"> required</w:t>
      </w:r>
      <w:r w:rsidR="009E3870" w:rsidRPr="00846A14">
        <w:rPr>
          <w:rFonts w:ascii="Century Gothic" w:hAnsi="Century Gothic"/>
        </w:rPr>
        <w:t xml:space="preserve"> component</w:t>
      </w:r>
      <w:r w:rsidR="000A4DFA" w:rsidRPr="00846A14">
        <w:rPr>
          <w:rFonts w:ascii="Century Gothic" w:hAnsi="Century Gothic"/>
        </w:rPr>
        <w:t xml:space="preserve">s </w:t>
      </w:r>
      <w:r w:rsidR="00780813" w:rsidRPr="00846A14">
        <w:rPr>
          <w:rFonts w:ascii="Century Gothic" w:hAnsi="Century Gothic"/>
        </w:rPr>
        <w:t>of</w:t>
      </w:r>
      <w:r w:rsidR="000A4DFA" w:rsidRPr="00846A14">
        <w:rPr>
          <w:rFonts w:ascii="Century Gothic" w:hAnsi="Century Gothic"/>
        </w:rPr>
        <w:t xml:space="preserve"> a comprehensive relocation plan.</w:t>
      </w:r>
      <w:r w:rsidR="004460E6" w:rsidRPr="00846A14">
        <w:rPr>
          <w:rFonts w:ascii="Century Gothic" w:hAnsi="Century Gothic"/>
        </w:rPr>
        <w:t xml:space="preserve"> Relocation plans should be compiled by</w:t>
      </w:r>
      <w:r w:rsidR="00C747CE" w:rsidRPr="00846A14">
        <w:rPr>
          <w:rFonts w:ascii="Century Gothic" w:hAnsi="Century Gothic"/>
        </w:rPr>
        <w:t xml:space="preserve"> the Subrecipient’s designated</w:t>
      </w:r>
      <w:r w:rsidR="004460E6" w:rsidRPr="00846A14">
        <w:rPr>
          <w:rFonts w:ascii="Century Gothic" w:hAnsi="Century Gothic"/>
        </w:rPr>
        <w:t xml:space="preserve"> </w:t>
      </w:r>
      <w:r w:rsidR="00C747CE" w:rsidRPr="00846A14">
        <w:rPr>
          <w:rFonts w:ascii="Century Gothic" w:hAnsi="Century Gothic"/>
        </w:rPr>
        <w:t>Relocation Specialist</w:t>
      </w:r>
      <w:r>
        <w:rPr>
          <w:rFonts w:ascii="Century Gothic" w:hAnsi="Century Gothic"/>
        </w:rPr>
        <w:t xml:space="preserve">, </w:t>
      </w:r>
      <w:r w:rsidR="00C747CE" w:rsidRPr="00846A14">
        <w:rPr>
          <w:rFonts w:ascii="Century Gothic" w:hAnsi="Century Gothic"/>
        </w:rPr>
        <w:t>in accordance with</w:t>
      </w:r>
      <w:r w:rsidR="00A256DA" w:rsidRPr="00846A14">
        <w:rPr>
          <w:rFonts w:ascii="Century Gothic" w:hAnsi="Century Gothic"/>
        </w:rPr>
        <w:t xml:space="preserve"> </w:t>
      </w:r>
      <w:r w:rsidR="00C723EE">
        <w:rPr>
          <w:rFonts w:ascii="Century Gothic" w:hAnsi="Century Gothic"/>
        </w:rPr>
        <w:t>the U.S. Department of Housing and Urban Development (</w:t>
      </w:r>
      <w:r w:rsidR="00A256DA" w:rsidRPr="00846A14">
        <w:rPr>
          <w:rFonts w:ascii="Century Gothic" w:hAnsi="Century Gothic"/>
          <w:b/>
          <w:bCs/>
        </w:rPr>
        <w:t>HUD</w:t>
      </w:r>
      <w:r w:rsidR="00C723EE">
        <w:rPr>
          <w:rFonts w:ascii="Century Gothic" w:hAnsi="Century Gothic"/>
        </w:rPr>
        <w:t>)</w:t>
      </w:r>
      <w:r w:rsidR="00A256DA" w:rsidRPr="00846A14">
        <w:rPr>
          <w:rFonts w:ascii="Century Gothic" w:hAnsi="Century Gothic"/>
        </w:rPr>
        <w:t xml:space="preserve"> regulations established for </w:t>
      </w:r>
      <w:r w:rsidR="00661EDC" w:rsidRPr="00846A14">
        <w:rPr>
          <w:rFonts w:ascii="Century Gothic" w:hAnsi="Century Gothic"/>
        </w:rPr>
        <w:t>relocation planning, advisory services</w:t>
      </w:r>
      <w:r w:rsidR="00C723EE">
        <w:rPr>
          <w:rFonts w:ascii="Century Gothic" w:hAnsi="Century Gothic"/>
        </w:rPr>
        <w:t>,</w:t>
      </w:r>
      <w:r w:rsidR="00661EDC" w:rsidRPr="00846A14">
        <w:rPr>
          <w:rFonts w:ascii="Century Gothic" w:hAnsi="Century Gothic"/>
        </w:rPr>
        <w:t xml:space="preserve"> and coordination</w:t>
      </w:r>
      <w:r>
        <w:rPr>
          <w:rFonts w:ascii="Century Gothic" w:hAnsi="Century Gothic"/>
        </w:rPr>
        <w:t>.</w:t>
      </w:r>
      <w:r>
        <w:rPr>
          <w:rStyle w:val="FootnoteReference"/>
          <w:rFonts w:ascii="Century Gothic" w:hAnsi="Century Gothic"/>
        </w:rPr>
        <w:footnoteReference w:id="1"/>
      </w:r>
    </w:p>
    <w:p w14:paraId="44F0C871" w14:textId="77777777" w:rsidR="00A603AE" w:rsidRPr="00846A14" w:rsidRDefault="00A603AE" w:rsidP="001678E7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14:paraId="02F6CC90" w14:textId="0230BB8D" w:rsidR="001023C8" w:rsidRPr="00846A14" w:rsidRDefault="00661EDC" w:rsidP="001678E7">
      <w:pPr>
        <w:jc w:val="both"/>
        <w:rPr>
          <w:rFonts w:ascii="Century Gothic" w:hAnsi="Century Gothic"/>
          <w:b/>
          <w:bCs/>
          <w:u w:val="single"/>
        </w:rPr>
      </w:pPr>
      <w:r w:rsidRPr="00846A14">
        <w:rPr>
          <w:rFonts w:ascii="Century Gothic" w:hAnsi="Century Gothic"/>
          <w:b/>
          <w:bCs/>
          <w:u w:val="single"/>
        </w:rPr>
        <w:t>Relocation Plan</w:t>
      </w:r>
      <w:r w:rsidR="008A3866">
        <w:rPr>
          <w:rFonts w:ascii="Century Gothic" w:hAnsi="Century Gothic"/>
          <w:b/>
          <w:bCs/>
          <w:u w:val="single"/>
        </w:rPr>
        <w:t xml:space="preserve"> Content</w:t>
      </w:r>
      <w:r w:rsidRPr="00846A14">
        <w:rPr>
          <w:rFonts w:ascii="Century Gothic" w:hAnsi="Century Gothic"/>
          <w:b/>
          <w:bCs/>
          <w:u w:val="single"/>
        </w:rPr>
        <w:t xml:space="preserve">  </w:t>
      </w:r>
    </w:p>
    <w:p w14:paraId="15C799EF" w14:textId="47D825BB" w:rsidR="007853E6" w:rsidRPr="00846A14" w:rsidRDefault="005E4D29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 xml:space="preserve">PROJECT </w:t>
      </w:r>
      <w:r w:rsidR="0072716C">
        <w:rPr>
          <w:rFonts w:ascii="Century Gothic" w:hAnsi="Century Gothic"/>
          <w:b/>
          <w:bCs/>
        </w:rPr>
        <w:t>SCOPE</w:t>
      </w:r>
    </w:p>
    <w:p w14:paraId="5486CC99" w14:textId="0ED099AD" w:rsidR="008F2FFD" w:rsidRPr="00846A14" w:rsidRDefault="008F2FFD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>Provide a</w:t>
      </w:r>
      <w:r w:rsidR="006E6BE9" w:rsidRPr="00846A14">
        <w:rPr>
          <w:rFonts w:ascii="Century Gothic" w:hAnsi="Century Gothic"/>
        </w:rPr>
        <w:t>n</w:t>
      </w:r>
      <w:r w:rsidRPr="00846A14">
        <w:rPr>
          <w:rFonts w:ascii="Century Gothic" w:hAnsi="Century Gothic"/>
        </w:rPr>
        <w:t xml:space="preserve"> overview of the </w:t>
      </w:r>
      <w:r w:rsidRPr="00846A14">
        <w:rPr>
          <w:rFonts w:ascii="Century Gothic" w:hAnsi="Century Gothic"/>
          <w:bCs/>
        </w:rPr>
        <w:t>project</w:t>
      </w:r>
      <w:r w:rsidR="00EB6C9A" w:rsidRPr="00846A14">
        <w:rPr>
          <w:rFonts w:ascii="Century Gothic" w:hAnsi="Century Gothic"/>
        </w:rPr>
        <w:t>,</w:t>
      </w:r>
      <w:r w:rsidR="00EB6C9A" w:rsidRPr="00E333CF">
        <w:rPr>
          <w:rFonts w:ascii="Century Gothic" w:hAnsi="Century Gothic"/>
        </w:rPr>
        <w:t xml:space="preserve"> including</w:t>
      </w:r>
      <w:r w:rsidR="0009116D" w:rsidRPr="00E333CF">
        <w:rPr>
          <w:rFonts w:ascii="Century Gothic" w:hAnsi="Century Gothic"/>
        </w:rPr>
        <w:t xml:space="preserve"> planned construction,</w:t>
      </w:r>
      <w:r w:rsidR="00A463B4" w:rsidRPr="00E333CF">
        <w:rPr>
          <w:rFonts w:ascii="Century Gothic" w:hAnsi="Century Gothic"/>
        </w:rPr>
        <w:t xml:space="preserve"> rehab</w:t>
      </w:r>
      <w:r w:rsidR="00487D06" w:rsidRPr="00E333CF">
        <w:rPr>
          <w:rFonts w:ascii="Century Gothic" w:hAnsi="Century Gothic"/>
        </w:rPr>
        <w:t>ilitation,</w:t>
      </w:r>
      <w:r w:rsidR="0009116D" w:rsidRPr="00E333CF">
        <w:rPr>
          <w:rFonts w:ascii="Century Gothic" w:hAnsi="Century Gothic"/>
        </w:rPr>
        <w:t xml:space="preserve"> and/or</w:t>
      </w:r>
      <w:r w:rsidR="00487D06" w:rsidRPr="00E333CF">
        <w:rPr>
          <w:rFonts w:ascii="Century Gothic" w:hAnsi="Century Gothic"/>
        </w:rPr>
        <w:t xml:space="preserve"> demolition</w:t>
      </w:r>
      <w:r w:rsidR="000C1741" w:rsidRPr="00E333CF">
        <w:rPr>
          <w:rFonts w:ascii="Century Gothic" w:hAnsi="Century Gothic"/>
        </w:rPr>
        <w:t xml:space="preserve"> activities</w:t>
      </w:r>
      <w:r w:rsidR="00487D06" w:rsidRPr="00E333CF">
        <w:rPr>
          <w:rFonts w:ascii="Century Gothic" w:hAnsi="Century Gothic"/>
        </w:rPr>
        <w:t xml:space="preserve">, </w:t>
      </w:r>
      <w:r w:rsidR="00E333CF">
        <w:rPr>
          <w:rFonts w:ascii="Century Gothic" w:hAnsi="Century Gothic"/>
        </w:rPr>
        <w:t>as well as</w:t>
      </w:r>
      <w:r w:rsidR="00E333CF" w:rsidRPr="00E333CF">
        <w:rPr>
          <w:rFonts w:ascii="Century Gothic" w:hAnsi="Century Gothic"/>
        </w:rPr>
        <w:t xml:space="preserve"> </w:t>
      </w:r>
      <w:r w:rsidR="00EB6C9A" w:rsidRPr="00E333CF">
        <w:rPr>
          <w:rFonts w:ascii="Century Gothic" w:hAnsi="Century Gothic"/>
        </w:rPr>
        <w:t>whether voluntary or involuntary acquisition will be occurring.</w:t>
      </w:r>
      <w:r w:rsidR="00C3113B" w:rsidRPr="00E333CF">
        <w:rPr>
          <w:rFonts w:ascii="Century Gothic" w:hAnsi="Century Gothic"/>
        </w:rPr>
        <w:t xml:space="preserve"> </w:t>
      </w:r>
      <w:r w:rsidR="00EF6574">
        <w:rPr>
          <w:rFonts w:ascii="Century Gothic" w:hAnsi="Century Gothic"/>
        </w:rPr>
        <w:t xml:space="preserve">Activity </w:t>
      </w:r>
      <w:r w:rsidR="00377148">
        <w:rPr>
          <w:rFonts w:ascii="Century Gothic" w:hAnsi="Century Gothic"/>
        </w:rPr>
        <w:t>descriptions</w:t>
      </w:r>
      <w:r w:rsidR="00AE4652" w:rsidRPr="00846A14">
        <w:rPr>
          <w:rFonts w:ascii="Century Gothic" w:hAnsi="Century Gothic"/>
        </w:rPr>
        <w:t xml:space="preserve"> </w:t>
      </w:r>
      <w:r w:rsidR="00377148">
        <w:rPr>
          <w:rFonts w:ascii="Century Gothic" w:hAnsi="Century Gothic"/>
        </w:rPr>
        <w:t xml:space="preserve">should </w:t>
      </w:r>
      <w:r w:rsidR="00EF6574">
        <w:rPr>
          <w:rFonts w:ascii="Century Gothic" w:hAnsi="Century Gothic"/>
        </w:rPr>
        <w:t>be specific</w:t>
      </w:r>
      <w:r w:rsidR="00D0789F">
        <w:rPr>
          <w:rFonts w:ascii="Century Gothic" w:hAnsi="Century Gothic"/>
        </w:rPr>
        <w:t>, identifying</w:t>
      </w:r>
      <w:r w:rsidR="00AE4652" w:rsidRPr="00846A14">
        <w:rPr>
          <w:rFonts w:ascii="Century Gothic" w:hAnsi="Century Gothic"/>
        </w:rPr>
        <w:t xml:space="preserve"> projected challenges in acquisition or relocation activities and </w:t>
      </w:r>
      <w:r w:rsidR="00D0789F">
        <w:rPr>
          <w:rFonts w:ascii="Century Gothic" w:hAnsi="Century Gothic"/>
        </w:rPr>
        <w:t>outlining the</w:t>
      </w:r>
      <w:r w:rsidR="00D0789F" w:rsidRPr="00846A14">
        <w:rPr>
          <w:rFonts w:ascii="Century Gothic" w:hAnsi="Century Gothic"/>
        </w:rPr>
        <w:t xml:space="preserve"> </w:t>
      </w:r>
      <w:r w:rsidR="00AE4652" w:rsidRPr="00846A14">
        <w:rPr>
          <w:rFonts w:ascii="Century Gothic" w:hAnsi="Century Gothic"/>
        </w:rPr>
        <w:t>course of action to address them.</w:t>
      </w:r>
    </w:p>
    <w:p w14:paraId="3515594E" w14:textId="6F44985E" w:rsidR="005E4D29" w:rsidRPr="00846A14" w:rsidRDefault="005E4D29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>RESPONSIBLE PARTIES</w:t>
      </w:r>
    </w:p>
    <w:p w14:paraId="2124BBA4" w14:textId="73A43266" w:rsidR="00520687" w:rsidRPr="00846A14" w:rsidRDefault="00F42F05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>Include</w:t>
      </w:r>
      <w:r w:rsidR="00520687" w:rsidRPr="00846A14">
        <w:rPr>
          <w:rFonts w:ascii="Century Gothic" w:hAnsi="Century Gothic"/>
        </w:rPr>
        <w:t xml:space="preserve"> the </w:t>
      </w:r>
      <w:r w:rsidR="00520687" w:rsidRPr="00846A14">
        <w:rPr>
          <w:rFonts w:ascii="Century Gothic" w:hAnsi="Century Gothic"/>
          <w:bCs/>
        </w:rPr>
        <w:t>responsible parties</w:t>
      </w:r>
      <w:r w:rsidR="00520687" w:rsidRPr="00846A14">
        <w:rPr>
          <w:rFonts w:ascii="Century Gothic" w:hAnsi="Century Gothic"/>
        </w:rPr>
        <w:t xml:space="preserve"> for execution of the relocation plan</w:t>
      </w:r>
      <w:r w:rsidRPr="00846A14">
        <w:rPr>
          <w:rFonts w:ascii="Century Gothic" w:hAnsi="Century Gothic"/>
        </w:rPr>
        <w:t xml:space="preserve"> (</w:t>
      </w:r>
      <w:proofErr w:type="gramStart"/>
      <w:r w:rsidRPr="00846A14">
        <w:rPr>
          <w:rFonts w:ascii="Century Gothic" w:hAnsi="Century Gothic"/>
        </w:rPr>
        <w:t>i.e</w:t>
      </w:r>
      <w:r w:rsidR="005D30A8" w:rsidRPr="00846A14">
        <w:rPr>
          <w:rFonts w:ascii="Century Gothic" w:hAnsi="Century Gothic"/>
        </w:rPr>
        <w:t>.</w:t>
      </w:r>
      <w:proofErr w:type="gramEnd"/>
      <w:r w:rsidRPr="00846A14">
        <w:rPr>
          <w:rFonts w:ascii="Century Gothic" w:hAnsi="Century Gothic"/>
        </w:rPr>
        <w:t xml:space="preserve"> Relocation Specialist, Project Manager, etc.)</w:t>
      </w:r>
    </w:p>
    <w:p w14:paraId="2EF0428E" w14:textId="70D78ACB" w:rsidR="005E6723" w:rsidRPr="00306575" w:rsidRDefault="005E6723" w:rsidP="001678E7">
      <w:pPr>
        <w:jc w:val="both"/>
        <w:rPr>
          <w:rFonts w:ascii="Century Gothic" w:hAnsi="Century Gothic"/>
          <w:b/>
          <w:bCs/>
        </w:rPr>
      </w:pPr>
      <w:r w:rsidRPr="00306575">
        <w:rPr>
          <w:rFonts w:ascii="Century Gothic" w:hAnsi="Century Gothic"/>
          <w:b/>
          <w:bCs/>
        </w:rPr>
        <w:t>RELOCATION TIMELINE</w:t>
      </w:r>
      <w:r w:rsidR="00186A59" w:rsidRPr="00306575">
        <w:rPr>
          <w:rFonts w:ascii="Century Gothic" w:hAnsi="Century Gothic"/>
          <w:b/>
          <w:bCs/>
        </w:rPr>
        <w:t xml:space="preserve"> AND COORDINATION OF RELOCATION ADVISORY SERVICES</w:t>
      </w:r>
    </w:p>
    <w:p w14:paraId="21E359C1" w14:textId="7D2E67DD" w:rsidR="00082424" w:rsidRPr="00846A14" w:rsidRDefault="00082424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Provide a </w:t>
      </w:r>
      <w:r w:rsidRPr="00846A14">
        <w:rPr>
          <w:rFonts w:ascii="Century Gothic" w:hAnsi="Century Gothic"/>
          <w:bCs/>
        </w:rPr>
        <w:t>clear timeline of relocation activities,</w:t>
      </w:r>
      <w:r w:rsidRPr="00846A14">
        <w:rPr>
          <w:rFonts w:ascii="Century Gothic" w:hAnsi="Century Gothic"/>
        </w:rPr>
        <w:t xml:space="preserve"> along with the expected delivery </w:t>
      </w:r>
      <w:r w:rsidR="007F41E9">
        <w:rPr>
          <w:rFonts w:ascii="Century Gothic" w:hAnsi="Century Gothic"/>
        </w:rPr>
        <w:t>schedule</w:t>
      </w:r>
      <w:r w:rsidR="007F41E9" w:rsidRPr="00846A14">
        <w:rPr>
          <w:rFonts w:ascii="Century Gothic" w:hAnsi="Century Gothic"/>
        </w:rPr>
        <w:t xml:space="preserve"> </w:t>
      </w:r>
      <w:r w:rsidRPr="00846A14">
        <w:rPr>
          <w:rFonts w:ascii="Century Gothic" w:hAnsi="Century Gothic"/>
        </w:rPr>
        <w:t>of required URA notices.</w:t>
      </w:r>
    </w:p>
    <w:p w14:paraId="269087DA" w14:textId="3EF5AF75" w:rsidR="00243AAA" w:rsidRPr="00846A14" w:rsidRDefault="00243AAA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Include whether </w:t>
      </w:r>
      <w:r w:rsidR="007F41E9">
        <w:rPr>
          <w:rFonts w:ascii="Century Gothic" w:hAnsi="Century Gothic"/>
          <w:bCs/>
        </w:rPr>
        <w:t>t</w:t>
      </w:r>
      <w:r w:rsidRPr="00846A14">
        <w:rPr>
          <w:rFonts w:ascii="Century Gothic" w:hAnsi="Century Gothic"/>
          <w:bCs/>
        </w:rPr>
        <w:t xml:space="preserve">emporary </w:t>
      </w:r>
      <w:r w:rsidR="007F41E9">
        <w:rPr>
          <w:rFonts w:ascii="Century Gothic" w:hAnsi="Century Gothic"/>
          <w:bCs/>
        </w:rPr>
        <w:t>r</w:t>
      </w:r>
      <w:r w:rsidRPr="00846A14">
        <w:rPr>
          <w:rFonts w:ascii="Century Gothic" w:hAnsi="Century Gothic"/>
          <w:bCs/>
        </w:rPr>
        <w:t xml:space="preserve">elocation </w:t>
      </w:r>
      <w:r w:rsidR="006E6BE9" w:rsidRPr="00846A14">
        <w:rPr>
          <w:rFonts w:ascii="Century Gothic" w:hAnsi="Century Gothic"/>
          <w:bCs/>
        </w:rPr>
        <w:t>and/</w:t>
      </w:r>
      <w:r w:rsidRPr="00846A14">
        <w:rPr>
          <w:rFonts w:ascii="Century Gothic" w:hAnsi="Century Gothic"/>
          <w:bCs/>
        </w:rPr>
        <w:t xml:space="preserve">or </w:t>
      </w:r>
      <w:r w:rsidR="007F41E9">
        <w:rPr>
          <w:rFonts w:ascii="Century Gothic" w:hAnsi="Century Gothic"/>
          <w:bCs/>
        </w:rPr>
        <w:t>p</w:t>
      </w:r>
      <w:r w:rsidRPr="00846A14">
        <w:rPr>
          <w:rFonts w:ascii="Century Gothic" w:hAnsi="Century Gothic"/>
          <w:bCs/>
        </w:rPr>
        <w:t xml:space="preserve">ermanent </w:t>
      </w:r>
      <w:r w:rsidR="007F41E9">
        <w:rPr>
          <w:rFonts w:ascii="Century Gothic" w:hAnsi="Century Gothic"/>
          <w:bCs/>
        </w:rPr>
        <w:t>d</w:t>
      </w:r>
      <w:r w:rsidRPr="00846A14">
        <w:rPr>
          <w:rFonts w:ascii="Century Gothic" w:hAnsi="Century Gothic"/>
          <w:bCs/>
        </w:rPr>
        <w:t>isplacement</w:t>
      </w:r>
      <w:r w:rsidRPr="00846A14">
        <w:rPr>
          <w:rFonts w:ascii="Century Gothic" w:hAnsi="Century Gothic"/>
        </w:rPr>
        <w:t xml:space="preserve"> will be occurring and </w:t>
      </w:r>
      <w:r w:rsidR="00BB6429" w:rsidRPr="00846A14">
        <w:rPr>
          <w:rFonts w:ascii="Century Gothic" w:hAnsi="Century Gothic"/>
        </w:rPr>
        <w:t xml:space="preserve">the </w:t>
      </w:r>
      <w:r w:rsidR="00BB6429" w:rsidRPr="00846A14">
        <w:rPr>
          <w:rFonts w:ascii="Century Gothic" w:hAnsi="Century Gothic"/>
          <w:bCs/>
        </w:rPr>
        <w:t xml:space="preserve">number of tenant households </w:t>
      </w:r>
      <w:r w:rsidR="002603F3" w:rsidRPr="00846A14">
        <w:rPr>
          <w:rFonts w:ascii="Century Gothic" w:hAnsi="Century Gothic"/>
          <w:bCs/>
        </w:rPr>
        <w:t>and/</w:t>
      </w:r>
      <w:r w:rsidR="00BB6429" w:rsidRPr="00846A14">
        <w:rPr>
          <w:rFonts w:ascii="Century Gothic" w:hAnsi="Century Gothic"/>
          <w:bCs/>
        </w:rPr>
        <w:t xml:space="preserve">or non-residential occupants </w:t>
      </w:r>
      <w:r w:rsidR="00BB6429" w:rsidRPr="00846A14">
        <w:rPr>
          <w:rFonts w:ascii="Century Gothic" w:hAnsi="Century Gothic"/>
        </w:rPr>
        <w:t>to be affected.</w:t>
      </w:r>
    </w:p>
    <w:p w14:paraId="465DD711" w14:textId="46868E80" w:rsidR="00283809" w:rsidRPr="00846A14" w:rsidRDefault="00283809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Include an </w:t>
      </w:r>
      <w:r w:rsidRPr="00846A14">
        <w:rPr>
          <w:rFonts w:ascii="Century Gothic" w:hAnsi="Century Gothic"/>
          <w:bCs/>
        </w:rPr>
        <w:t>estimate of available comparable replacement dwelling</w:t>
      </w:r>
      <w:r w:rsidR="00136230" w:rsidRPr="00846A14">
        <w:rPr>
          <w:rFonts w:ascii="Century Gothic" w:hAnsi="Century Gothic"/>
          <w:bCs/>
        </w:rPr>
        <w:t>s</w:t>
      </w:r>
      <w:r w:rsidR="00136230" w:rsidRPr="00846A14">
        <w:rPr>
          <w:rFonts w:ascii="Century Gothic" w:hAnsi="Century Gothic"/>
        </w:rPr>
        <w:t xml:space="preserve"> in the area, including rental and sales rates for </w:t>
      </w:r>
      <w:r w:rsidR="00136230" w:rsidRPr="00846A14">
        <w:rPr>
          <w:rFonts w:ascii="Century Gothic" w:hAnsi="Century Gothic"/>
          <w:i/>
          <w:iCs/>
          <w:u w:val="single"/>
        </w:rPr>
        <w:t>both</w:t>
      </w:r>
      <w:r w:rsidR="00136230" w:rsidRPr="00846A14">
        <w:rPr>
          <w:rFonts w:ascii="Century Gothic" w:hAnsi="Century Gothic"/>
        </w:rPr>
        <w:t xml:space="preserve"> residential and non-residential occupants.</w:t>
      </w:r>
    </w:p>
    <w:p w14:paraId="1C8013EF" w14:textId="7258F8C9" w:rsidR="002F0BB3" w:rsidRPr="00846A14" w:rsidRDefault="002F0BB3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Establish a </w:t>
      </w:r>
      <w:r w:rsidRPr="00846A14">
        <w:rPr>
          <w:rFonts w:ascii="Century Gothic" w:hAnsi="Century Gothic"/>
          <w:bCs/>
        </w:rPr>
        <w:t>summary of the relocation benefits and assistance</w:t>
      </w:r>
      <w:r w:rsidRPr="00846A14">
        <w:rPr>
          <w:rFonts w:ascii="Century Gothic" w:hAnsi="Century Gothic"/>
        </w:rPr>
        <w:t xml:space="preserve"> to be provided based on occupant and relocation type, including the plan for </w:t>
      </w:r>
      <w:proofErr w:type="gramStart"/>
      <w:r w:rsidRPr="00846A14">
        <w:rPr>
          <w:rFonts w:ascii="Century Gothic" w:hAnsi="Century Gothic"/>
        </w:rPr>
        <w:t>sourcing</w:t>
      </w:r>
      <w:proofErr w:type="gramEnd"/>
      <w:r w:rsidRPr="00846A14">
        <w:rPr>
          <w:rFonts w:ascii="Century Gothic" w:hAnsi="Century Gothic"/>
        </w:rPr>
        <w:t xml:space="preserve"> and offering comparable replacement dwellings</w:t>
      </w:r>
      <w:r w:rsidR="00D5115B" w:rsidRPr="00846A14">
        <w:rPr>
          <w:rFonts w:ascii="Century Gothic" w:hAnsi="Century Gothic"/>
        </w:rPr>
        <w:t>.</w:t>
      </w:r>
    </w:p>
    <w:p w14:paraId="637E59F4" w14:textId="77777777" w:rsidR="000F0B8D" w:rsidRPr="00846A14" w:rsidRDefault="000F0B8D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>OCCUPANT SURVEY(S)</w:t>
      </w:r>
    </w:p>
    <w:p w14:paraId="014DC8A0" w14:textId="2A13BD2C" w:rsidR="000F0B8D" w:rsidRDefault="000F0B8D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The </w:t>
      </w:r>
      <w:r w:rsidR="00A603AE">
        <w:rPr>
          <w:rFonts w:ascii="Century Gothic" w:hAnsi="Century Gothic"/>
        </w:rPr>
        <w:t xml:space="preserve">relocation </w:t>
      </w:r>
      <w:r w:rsidRPr="00846A14">
        <w:rPr>
          <w:rFonts w:ascii="Century Gothic" w:hAnsi="Century Gothic"/>
        </w:rPr>
        <w:t xml:space="preserve">plan must include a </w:t>
      </w:r>
      <w:r w:rsidRPr="00846A14">
        <w:rPr>
          <w:rFonts w:ascii="Century Gothic" w:hAnsi="Century Gothic"/>
          <w:bCs/>
        </w:rPr>
        <w:t>summary of the results of the occupant survey</w:t>
      </w:r>
      <w:r w:rsidRPr="00846A14">
        <w:rPr>
          <w:rFonts w:ascii="Century Gothic" w:hAnsi="Century Gothic"/>
        </w:rPr>
        <w:t xml:space="preserve"> where</w:t>
      </w:r>
      <w:r w:rsidR="00A603AE">
        <w:rPr>
          <w:rFonts w:ascii="Century Gothic" w:hAnsi="Century Gothic"/>
        </w:rPr>
        <w:t>,</w:t>
      </w:r>
      <w:r w:rsidRPr="00846A14">
        <w:rPr>
          <w:rFonts w:ascii="Century Gothic" w:hAnsi="Century Gothic"/>
        </w:rPr>
        <w:t xml:space="preserve"> at a minimum, the information denoted </w:t>
      </w:r>
      <w:r w:rsidR="0076028F" w:rsidRPr="00846A14">
        <w:rPr>
          <w:rFonts w:ascii="Century Gothic" w:hAnsi="Century Gothic"/>
        </w:rPr>
        <w:t xml:space="preserve">in </w:t>
      </w:r>
      <w:r w:rsidR="0076028F" w:rsidRPr="00846A14">
        <w:rPr>
          <w:rFonts w:ascii="Century Gothic" w:hAnsi="Century Gothic"/>
          <w:b/>
          <w:bCs/>
        </w:rPr>
        <w:t xml:space="preserve">Section </w:t>
      </w:r>
      <w:r w:rsidR="00697A54" w:rsidRPr="00846A14">
        <w:rPr>
          <w:rFonts w:ascii="Century Gothic" w:hAnsi="Century Gothic"/>
          <w:b/>
          <w:bCs/>
        </w:rPr>
        <w:t>10 of</w:t>
      </w:r>
      <w:r w:rsidRPr="00846A14">
        <w:rPr>
          <w:rFonts w:ascii="Century Gothic" w:hAnsi="Century Gothic"/>
        </w:rPr>
        <w:t xml:space="preserve"> </w:t>
      </w:r>
      <w:r w:rsidRPr="00846A14">
        <w:rPr>
          <w:rFonts w:ascii="Century Gothic" w:hAnsi="Century Gothic"/>
          <w:b/>
          <w:bCs/>
        </w:rPr>
        <w:t xml:space="preserve">URA Compliance Checklist </w:t>
      </w:r>
      <w:r w:rsidR="00D22FF0" w:rsidRPr="00846A14">
        <w:rPr>
          <w:rFonts w:ascii="Century Gothic" w:hAnsi="Century Gothic"/>
          <w:b/>
          <w:bCs/>
        </w:rPr>
        <w:t>#</w:t>
      </w:r>
      <w:r w:rsidRPr="00846A14">
        <w:rPr>
          <w:rFonts w:ascii="Century Gothic" w:hAnsi="Century Gothic"/>
          <w:b/>
          <w:bCs/>
        </w:rPr>
        <w:t>4</w:t>
      </w:r>
      <w:r w:rsidRPr="00846A14">
        <w:rPr>
          <w:rFonts w:ascii="Century Gothic" w:hAnsi="Century Gothic"/>
        </w:rPr>
        <w:t xml:space="preserve"> has been collected for both </w:t>
      </w:r>
      <w:r w:rsidR="00A603AE">
        <w:rPr>
          <w:rFonts w:ascii="Century Gothic" w:hAnsi="Century Gothic"/>
        </w:rPr>
        <w:t>r</w:t>
      </w:r>
      <w:r w:rsidR="00A603AE" w:rsidRPr="00846A14">
        <w:rPr>
          <w:rFonts w:ascii="Century Gothic" w:hAnsi="Century Gothic"/>
        </w:rPr>
        <w:t xml:space="preserve">esidential </w:t>
      </w:r>
      <w:r w:rsidRPr="00846A14">
        <w:rPr>
          <w:rFonts w:ascii="Century Gothic" w:hAnsi="Century Gothic"/>
        </w:rPr>
        <w:t xml:space="preserve">and </w:t>
      </w:r>
      <w:r w:rsidR="00A603AE">
        <w:rPr>
          <w:rFonts w:ascii="Century Gothic" w:hAnsi="Century Gothic"/>
        </w:rPr>
        <w:t>n</w:t>
      </w:r>
      <w:r w:rsidR="00A603AE" w:rsidRPr="00846A14">
        <w:rPr>
          <w:rFonts w:ascii="Century Gothic" w:hAnsi="Century Gothic"/>
        </w:rPr>
        <w:t>on</w:t>
      </w:r>
      <w:r w:rsidRPr="00846A14">
        <w:rPr>
          <w:rFonts w:ascii="Century Gothic" w:hAnsi="Century Gothic"/>
        </w:rPr>
        <w:t xml:space="preserve">-residential occupants. </w:t>
      </w:r>
    </w:p>
    <w:p w14:paraId="20165394" w14:textId="38992C5B" w:rsidR="000F0B8D" w:rsidRPr="00846A14" w:rsidRDefault="000F0B8D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Please include any </w:t>
      </w:r>
      <w:r w:rsidRPr="00846A14">
        <w:rPr>
          <w:rFonts w:ascii="Century Gothic" w:hAnsi="Century Gothic"/>
          <w:bCs/>
        </w:rPr>
        <w:t>additional details pertinent to the specific relocation needs of the occupants</w:t>
      </w:r>
      <w:r w:rsidRPr="00846A14">
        <w:rPr>
          <w:rFonts w:ascii="Century Gothic" w:hAnsi="Century Gothic"/>
        </w:rPr>
        <w:t xml:space="preserve">, as requirements may differ amongst the various occupant </w:t>
      </w:r>
      <w:r w:rsidR="00797AB5" w:rsidRPr="00846A14">
        <w:rPr>
          <w:rFonts w:ascii="Century Gothic" w:hAnsi="Century Gothic"/>
        </w:rPr>
        <w:t xml:space="preserve">and relocation </w:t>
      </w:r>
      <w:r w:rsidR="00497E4C" w:rsidRPr="00846A14">
        <w:rPr>
          <w:rFonts w:ascii="Century Gothic" w:hAnsi="Century Gothic"/>
        </w:rPr>
        <w:t>types</w:t>
      </w:r>
      <w:r w:rsidRPr="00846A14">
        <w:rPr>
          <w:rFonts w:ascii="Century Gothic" w:hAnsi="Century Gothic"/>
        </w:rPr>
        <w:t>.</w:t>
      </w:r>
    </w:p>
    <w:p w14:paraId="63A75B96" w14:textId="452465DC" w:rsidR="00670213" w:rsidRPr="00846A14" w:rsidRDefault="00516A5D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>FINANCIAL PLANNING</w:t>
      </w:r>
    </w:p>
    <w:p w14:paraId="7EAC08F1" w14:textId="524D1072" w:rsidR="001D2235" w:rsidRDefault="001D2235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1D2235">
        <w:rPr>
          <w:rFonts w:ascii="Century Gothic" w:hAnsi="Century Gothic"/>
        </w:rPr>
        <w:t xml:space="preserve">Provide the project budget, </w:t>
      </w:r>
      <w:r>
        <w:rPr>
          <w:rFonts w:ascii="Century Gothic" w:hAnsi="Century Gothic"/>
        </w:rPr>
        <w:t>including</w:t>
      </w:r>
      <w:r w:rsidRPr="001D2235">
        <w:rPr>
          <w:rFonts w:ascii="Century Gothic" w:hAnsi="Century Gothic"/>
        </w:rPr>
        <w:t xml:space="preserve"> the costs associated with relocation activities</w:t>
      </w:r>
      <w:r w:rsidR="00C51BBE">
        <w:rPr>
          <w:rFonts w:ascii="Century Gothic" w:hAnsi="Century Gothic"/>
        </w:rPr>
        <w:t xml:space="preserve">. </w:t>
      </w:r>
      <w:r w:rsidR="00A516A5">
        <w:rPr>
          <w:rFonts w:ascii="Century Gothic" w:hAnsi="Century Gothic"/>
        </w:rPr>
        <w:t xml:space="preserve">The </w:t>
      </w:r>
      <w:r w:rsidR="00A516A5" w:rsidRPr="00A516A5">
        <w:rPr>
          <w:rFonts w:ascii="Century Gothic" w:hAnsi="Century Gothic"/>
        </w:rPr>
        <w:t>project budget</w:t>
      </w:r>
      <w:r w:rsidR="00A516A5">
        <w:rPr>
          <w:rFonts w:ascii="Century Gothic" w:hAnsi="Century Gothic"/>
        </w:rPr>
        <w:t xml:space="preserve"> must</w:t>
      </w:r>
      <w:r w:rsidR="00A516A5" w:rsidRPr="00A516A5">
        <w:rPr>
          <w:rFonts w:ascii="Century Gothic" w:hAnsi="Century Gothic"/>
        </w:rPr>
        <w:t xml:space="preserve"> </w:t>
      </w:r>
      <w:r w:rsidR="00A04761" w:rsidRPr="00A516A5">
        <w:rPr>
          <w:rFonts w:ascii="Century Gothic" w:hAnsi="Century Gothic"/>
        </w:rPr>
        <w:t>include</w:t>
      </w:r>
      <w:r w:rsidR="00A04761">
        <w:rPr>
          <w:rFonts w:ascii="Century Gothic" w:hAnsi="Century Gothic"/>
        </w:rPr>
        <w:t xml:space="preserve"> </w:t>
      </w:r>
      <w:r w:rsidR="00A516A5" w:rsidRPr="00A516A5">
        <w:rPr>
          <w:rFonts w:ascii="Century Gothic" w:hAnsi="Century Gothic"/>
        </w:rPr>
        <w:t xml:space="preserve">the proper allocation of resources to ensure </w:t>
      </w:r>
      <w:r w:rsidR="002C1834" w:rsidRPr="00A516A5">
        <w:rPr>
          <w:rFonts w:ascii="Century Gothic" w:hAnsi="Century Gothic"/>
        </w:rPr>
        <w:t xml:space="preserve">URA </w:t>
      </w:r>
      <w:r w:rsidR="00A516A5" w:rsidRPr="00A516A5">
        <w:rPr>
          <w:rFonts w:ascii="Century Gothic" w:hAnsi="Century Gothic"/>
        </w:rPr>
        <w:t>compliance.</w:t>
      </w:r>
    </w:p>
    <w:p w14:paraId="2D3853B9" w14:textId="6398F997" w:rsidR="007241C2" w:rsidRPr="00846A14" w:rsidRDefault="007241C2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A </w:t>
      </w:r>
      <w:r w:rsidRPr="00846A14">
        <w:rPr>
          <w:rFonts w:ascii="Century Gothic" w:hAnsi="Century Gothic"/>
          <w:bCs/>
        </w:rPr>
        <w:t xml:space="preserve">plan for disbursement of funds related to </w:t>
      </w:r>
      <w:r w:rsidR="00F651C1" w:rsidRPr="00846A14">
        <w:rPr>
          <w:rFonts w:ascii="Century Gothic" w:hAnsi="Century Gothic"/>
          <w:bCs/>
        </w:rPr>
        <w:t xml:space="preserve">permanent and temporary </w:t>
      </w:r>
      <w:r w:rsidRPr="00846A14">
        <w:rPr>
          <w:rFonts w:ascii="Century Gothic" w:hAnsi="Century Gothic"/>
          <w:bCs/>
        </w:rPr>
        <w:t>residential relo</w:t>
      </w:r>
      <w:r w:rsidR="00584AC5" w:rsidRPr="00846A14">
        <w:rPr>
          <w:rFonts w:ascii="Century Gothic" w:hAnsi="Century Gothic"/>
          <w:bCs/>
        </w:rPr>
        <w:t>c</w:t>
      </w:r>
      <w:r w:rsidRPr="00846A14">
        <w:rPr>
          <w:rFonts w:ascii="Century Gothic" w:hAnsi="Century Gothic"/>
          <w:bCs/>
        </w:rPr>
        <w:t>ation</w:t>
      </w:r>
      <w:r w:rsidRPr="00846A14">
        <w:rPr>
          <w:rFonts w:ascii="Century Gothic" w:hAnsi="Century Gothic"/>
        </w:rPr>
        <w:t xml:space="preserve"> is inclu</w:t>
      </w:r>
      <w:r w:rsidR="00584AC5" w:rsidRPr="00846A14">
        <w:rPr>
          <w:rFonts w:ascii="Century Gothic" w:hAnsi="Century Gothic"/>
        </w:rPr>
        <w:t>ded with the details</w:t>
      </w:r>
      <w:r w:rsidR="00DD66B9" w:rsidRPr="00846A14">
        <w:rPr>
          <w:rFonts w:ascii="Century Gothic" w:hAnsi="Century Gothic"/>
        </w:rPr>
        <w:t xml:space="preserve"> listed in </w:t>
      </w:r>
      <w:r w:rsidR="00DD66B9" w:rsidRPr="00846A14">
        <w:rPr>
          <w:rFonts w:ascii="Century Gothic" w:hAnsi="Century Gothic"/>
          <w:b/>
          <w:bCs/>
        </w:rPr>
        <w:t xml:space="preserve">Section </w:t>
      </w:r>
      <w:r w:rsidR="001678E7" w:rsidRPr="00846A14">
        <w:rPr>
          <w:rFonts w:ascii="Century Gothic" w:hAnsi="Century Gothic"/>
          <w:b/>
          <w:bCs/>
        </w:rPr>
        <w:t>13</w:t>
      </w:r>
      <w:r w:rsidR="00D22FF0" w:rsidRPr="00846A14">
        <w:rPr>
          <w:rFonts w:ascii="Century Gothic" w:hAnsi="Century Gothic"/>
          <w:b/>
          <w:bCs/>
        </w:rPr>
        <w:t xml:space="preserve"> </w:t>
      </w:r>
      <w:r w:rsidR="00DD66B9" w:rsidRPr="00846A14">
        <w:rPr>
          <w:rFonts w:ascii="Century Gothic" w:hAnsi="Century Gothic"/>
          <w:b/>
          <w:bCs/>
        </w:rPr>
        <w:t>of URA Compliance Checklist #4</w:t>
      </w:r>
      <w:r w:rsidR="00A33723" w:rsidRPr="00846A14">
        <w:rPr>
          <w:rFonts w:ascii="Century Gothic" w:hAnsi="Century Gothic"/>
        </w:rPr>
        <w:t>.</w:t>
      </w:r>
    </w:p>
    <w:p w14:paraId="3D4D9C5D" w14:textId="717CC43C" w:rsidR="003D6F71" w:rsidRPr="00846A14" w:rsidRDefault="00154356" w:rsidP="00846A1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 xml:space="preserve">A </w:t>
      </w:r>
      <w:r w:rsidRPr="00846A14">
        <w:rPr>
          <w:rFonts w:ascii="Century Gothic" w:hAnsi="Century Gothic"/>
          <w:bCs/>
        </w:rPr>
        <w:t>plan for disbursement of funds related to</w:t>
      </w:r>
      <w:r w:rsidR="00885E5F" w:rsidRPr="00846A14">
        <w:rPr>
          <w:rFonts w:ascii="Century Gothic" w:hAnsi="Century Gothic"/>
          <w:bCs/>
        </w:rPr>
        <w:t xml:space="preserve"> permanent and temporary (very rare) </w:t>
      </w:r>
      <w:r w:rsidRPr="00846A14">
        <w:rPr>
          <w:rFonts w:ascii="Century Gothic" w:hAnsi="Century Gothic"/>
          <w:bCs/>
        </w:rPr>
        <w:t>non-residential relocation</w:t>
      </w:r>
      <w:r w:rsidR="008D44BB" w:rsidRPr="00846A14">
        <w:rPr>
          <w:rFonts w:ascii="Century Gothic" w:hAnsi="Century Gothic"/>
          <w:b/>
          <w:bCs/>
        </w:rPr>
        <w:t xml:space="preserve"> </w:t>
      </w:r>
      <w:r w:rsidR="008D44BB" w:rsidRPr="00846A14">
        <w:rPr>
          <w:rFonts w:ascii="Century Gothic" w:hAnsi="Century Gothic"/>
        </w:rPr>
        <w:t xml:space="preserve">is included with the </w:t>
      </w:r>
      <w:r w:rsidR="00A276B1" w:rsidRPr="00846A14">
        <w:rPr>
          <w:rFonts w:ascii="Century Gothic" w:hAnsi="Century Gothic"/>
        </w:rPr>
        <w:t xml:space="preserve">details listed in </w:t>
      </w:r>
      <w:r w:rsidR="00A276B1" w:rsidRPr="00846A14">
        <w:rPr>
          <w:rFonts w:ascii="Century Gothic" w:hAnsi="Century Gothic"/>
          <w:b/>
          <w:bCs/>
        </w:rPr>
        <w:t xml:space="preserve">Section </w:t>
      </w:r>
      <w:r w:rsidR="001678E7" w:rsidRPr="00846A14">
        <w:rPr>
          <w:rFonts w:ascii="Century Gothic" w:hAnsi="Century Gothic"/>
          <w:b/>
          <w:bCs/>
        </w:rPr>
        <w:t>14</w:t>
      </w:r>
      <w:r w:rsidR="00A276B1" w:rsidRPr="00846A14">
        <w:rPr>
          <w:rFonts w:ascii="Century Gothic" w:hAnsi="Century Gothic"/>
          <w:b/>
          <w:bCs/>
        </w:rPr>
        <w:t xml:space="preserve"> of URA Compliance Checklist #4</w:t>
      </w:r>
      <w:r w:rsidR="008D44BB" w:rsidRPr="00846A14">
        <w:rPr>
          <w:rFonts w:ascii="Century Gothic" w:hAnsi="Century Gothic"/>
          <w:b/>
          <w:bCs/>
        </w:rPr>
        <w:t xml:space="preserve"> </w:t>
      </w:r>
      <w:r w:rsidR="008D44BB" w:rsidRPr="00846A14">
        <w:rPr>
          <w:rFonts w:ascii="Century Gothic" w:hAnsi="Century Gothic"/>
        </w:rPr>
        <w:t>(if applicable)</w:t>
      </w:r>
      <w:r w:rsidR="00A33723" w:rsidRPr="00846A14">
        <w:rPr>
          <w:rFonts w:ascii="Century Gothic" w:hAnsi="Century Gothic"/>
        </w:rPr>
        <w:t xml:space="preserve">. </w:t>
      </w:r>
    </w:p>
    <w:p w14:paraId="7D58EDC9" w14:textId="77777777" w:rsidR="005057DE" w:rsidRPr="00846A14" w:rsidRDefault="005057DE" w:rsidP="001678E7">
      <w:pPr>
        <w:jc w:val="both"/>
        <w:rPr>
          <w:rFonts w:ascii="Century Gothic" w:hAnsi="Century Gothic"/>
          <w:b/>
          <w:bCs/>
        </w:rPr>
      </w:pPr>
      <w:r w:rsidRPr="00846A14">
        <w:rPr>
          <w:rFonts w:ascii="Century Gothic" w:hAnsi="Century Gothic"/>
          <w:b/>
          <w:bCs/>
        </w:rPr>
        <w:t>RECORDKEEPING</w:t>
      </w:r>
    </w:p>
    <w:p w14:paraId="57A74269" w14:textId="65AAD3F9" w:rsidR="005057DE" w:rsidRPr="00846A14" w:rsidRDefault="00A33723" w:rsidP="001678E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46A14">
        <w:rPr>
          <w:rFonts w:ascii="Century Gothic" w:hAnsi="Century Gothic"/>
        </w:rPr>
        <w:t>Detail</w:t>
      </w:r>
      <w:r w:rsidR="005057DE" w:rsidRPr="00846A14">
        <w:rPr>
          <w:rFonts w:ascii="Century Gothic" w:hAnsi="Century Gothic"/>
        </w:rPr>
        <w:t xml:space="preserve"> </w:t>
      </w:r>
      <w:r w:rsidR="00C51BBE" w:rsidRPr="00C51BBE">
        <w:rPr>
          <w:rFonts w:ascii="Century Gothic" w:hAnsi="Century Gothic"/>
        </w:rPr>
        <w:t xml:space="preserve">the procedures for maintaining records of correspondence, occupant surveys, payments, </w:t>
      </w:r>
      <w:r w:rsidR="00C51BBE">
        <w:rPr>
          <w:rFonts w:ascii="Century Gothic" w:hAnsi="Century Gothic"/>
        </w:rPr>
        <w:t>complaints and appeals</w:t>
      </w:r>
      <w:r w:rsidRPr="00846A14">
        <w:rPr>
          <w:rFonts w:ascii="Century Gothic" w:hAnsi="Century Gothic"/>
        </w:rPr>
        <w:t>.</w:t>
      </w:r>
      <w:r w:rsidR="00DB4C6A" w:rsidRPr="00846A14">
        <w:rPr>
          <w:rFonts w:ascii="Century Gothic" w:hAnsi="Century Gothic"/>
        </w:rPr>
        <w:t xml:space="preserve"> </w:t>
      </w:r>
    </w:p>
    <w:p w14:paraId="0816EDEE" w14:textId="77777777" w:rsidR="005057DE" w:rsidRPr="00846A14" w:rsidRDefault="005057DE" w:rsidP="001678E7">
      <w:pPr>
        <w:jc w:val="both"/>
        <w:rPr>
          <w:rFonts w:ascii="Century Gothic" w:hAnsi="Century Gothic"/>
        </w:rPr>
      </w:pPr>
    </w:p>
    <w:sectPr w:rsidR="005057DE" w:rsidRPr="00846A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2D4" w14:textId="77777777" w:rsidR="00DD4BE3" w:rsidRDefault="00DD4BE3" w:rsidP="00697A54">
      <w:pPr>
        <w:spacing w:after="0" w:line="240" w:lineRule="auto"/>
      </w:pPr>
      <w:r>
        <w:separator/>
      </w:r>
    </w:p>
  </w:endnote>
  <w:endnote w:type="continuationSeparator" w:id="0">
    <w:p w14:paraId="3C95BFCB" w14:textId="77777777" w:rsidR="00DD4BE3" w:rsidRDefault="00DD4BE3" w:rsidP="006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E492" w14:textId="77777777" w:rsidR="00DD4BE3" w:rsidRDefault="00DD4BE3" w:rsidP="00697A54">
      <w:pPr>
        <w:spacing w:after="0" w:line="240" w:lineRule="auto"/>
      </w:pPr>
      <w:r>
        <w:separator/>
      </w:r>
    </w:p>
  </w:footnote>
  <w:footnote w:type="continuationSeparator" w:id="0">
    <w:p w14:paraId="4706AA7B" w14:textId="77777777" w:rsidR="00DD4BE3" w:rsidRDefault="00DD4BE3" w:rsidP="00697A54">
      <w:pPr>
        <w:spacing w:after="0" w:line="240" w:lineRule="auto"/>
      </w:pPr>
      <w:r>
        <w:continuationSeparator/>
      </w:r>
    </w:p>
  </w:footnote>
  <w:footnote w:id="1">
    <w:p w14:paraId="3F234246" w14:textId="5C13AE16" w:rsidR="00463FB8" w:rsidRPr="00846A14" w:rsidRDefault="00463FB8">
      <w:pPr>
        <w:pStyle w:val="FootnoteText"/>
        <w:rPr>
          <w:rFonts w:ascii="Century Gothic" w:hAnsi="Century Gothic"/>
          <w:sz w:val="16"/>
          <w:szCs w:val="16"/>
        </w:rPr>
      </w:pPr>
      <w:r w:rsidRPr="00846A14">
        <w:rPr>
          <w:rStyle w:val="FootnoteReference"/>
          <w:rFonts w:ascii="Century Gothic" w:hAnsi="Century Gothic"/>
          <w:sz w:val="16"/>
          <w:szCs w:val="16"/>
        </w:rPr>
        <w:footnoteRef/>
      </w:r>
      <w:r w:rsidRPr="00846A14">
        <w:rPr>
          <w:rFonts w:ascii="Century Gothic" w:hAnsi="Century Gothic"/>
          <w:sz w:val="16"/>
          <w:szCs w:val="16"/>
        </w:rPr>
        <w:t xml:space="preserve"> </w:t>
      </w:r>
      <w:r w:rsidR="008A3866">
        <w:rPr>
          <w:rFonts w:ascii="Century Gothic" w:hAnsi="Century Gothic"/>
          <w:sz w:val="16"/>
          <w:szCs w:val="16"/>
        </w:rPr>
        <w:t xml:space="preserve">See, </w:t>
      </w:r>
      <w:r w:rsidRPr="00846A14">
        <w:rPr>
          <w:rFonts w:ascii="Century Gothic" w:hAnsi="Century Gothic"/>
          <w:sz w:val="16"/>
          <w:szCs w:val="16"/>
        </w:rPr>
        <w:t>49 C.F.R. § 24.205(a) through (e).</w:t>
      </w:r>
      <w:r w:rsidR="008A3866">
        <w:rPr>
          <w:rFonts w:ascii="Century Gothic" w:hAnsi="Century Gothic"/>
          <w:sz w:val="16"/>
          <w:szCs w:val="16"/>
        </w:rPr>
        <w:t xml:space="preserve"> All implementing regulations for URA can be found at 49 C.F.R. Part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9B5A" w14:textId="4CBB7D22" w:rsidR="00697A54" w:rsidRDefault="00697A54">
    <w:pPr>
      <w:pStyle w:val="Header"/>
    </w:pPr>
    <w:r>
      <w:rPr>
        <w:noProof/>
      </w:rPr>
      <w:drawing>
        <wp:inline distT="0" distB="0" distL="0" distR="0" wp14:anchorId="2CF02E69" wp14:editId="08E8240B">
          <wp:extent cx="1701165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C02"/>
    <w:multiLevelType w:val="hybridMultilevel"/>
    <w:tmpl w:val="8BC45784"/>
    <w:lvl w:ilvl="0" w:tplc="3F726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1850"/>
    <w:multiLevelType w:val="hybridMultilevel"/>
    <w:tmpl w:val="BB0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46686">
    <w:abstractNumId w:val="1"/>
  </w:num>
  <w:num w:numId="2" w16cid:durableId="72040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48"/>
    <w:rsid w:val="000054D7"/>
    <w:rsid w:val="0000656B"/>
    <w:rsid w:val="00007BCA"/>
    <w:rsid w:val="000335AD"/>
    <w:rsid w:val="00067E8D"/>
    <w:rsid w:val="00077A70"/>
    <w:rsid w:val="00082424"/>
    <w:rsid w:val="00087D7F"/>
    <w:rsid w:val="0009116D"/>
    <w:rsid w:val="000A308C"/>
    <w:rsid w:val="000A4DFA"/>
    <w:rsid w:val="000C1741"/>
    <w:rsid w:val="000D2C7F"/>
    <w:rsid w:val="000D6256"/>
    <w:rsid w:val="000F0B8D"/>
    <w:rsid w:val="000F23DB"/>
    <w:rsid w:val="000F78D8"/>
    <w:rsid w:val="001023C8"/>
    <w:rsid w:val="0011603E"/>
    <w:rsid w:val="00117458"/>
    <w:rsid w:val="00136230"/>
    <w:rsid w:val="00143BB0"/>
    <w:rsid w:val="00154356"/>
    <w:rsid w:val="001634D9"/>
    <w:rsid w:val="001678E7"/>
    <w:rsid w:val="00186A59"/>
    <w:rsid w:val="00196712"/>
    <w:rsid w:val="001A065A"/>
    <w:rsid w:val="001B15D2"/>
    <w:rsid w:val="001B1A7B"/>
    <w:rsid w:val="001B3B34"/>
    <w:rsid w:val="001D06A9"/>
    <w:rsid w:val="001D2235"/>
    <w:rsid w:val="002008F2"/>
    <w:rsid w:val="0021532A"/>
    <w:rsid w:val="00243AAA"/>
    <w:rsid w:val="002603F3"/>
    <w:rsid w:val="00270D81"/>
    <w:rsid w:val="00283809"/>
    <w:rsid w:val="002C1834"/>
    <w:rsid w:val="002F0BB3"/>
    <w:rsid w:val="00306575"/>
    <w:rsid w:val="00311E7A"/>
    <w:rsid w:val="003429DA"/>
    <w:rsid w:val="00350D27"/>
    <w:rsid w:val="003665CA"/>
    <w:rsid w:val="003701EF"/>
    <w:rsid w:val="00377148"/>
    <w:rsid w:val="00397CEB"/>
    <w:rsid w:val="003B5992"/>
    <w:rsid w:val="003D6F71"/>
    <w:rsid w:val="003D79E0"/>
    <w:rsid w:val="004153C9"/>
    <w:rsid w:val="00420D98"/>
    <w:rsid w:val="00434513"/>
    <w:rsid w:val="004426BF"/>
    <w:rsid w:val="004460E6"/>
    <w:rsid w:val="00463FB8"/>
    <w:rsid w:val="00487A48"/>
    <w:rsid w:val="00487D06"/>
    <w:rsid w:val="00497E4C"/>
    <w:rsid w:val="004A0045"/>
    <w:rsid w:val="004A331A"/>
    <w:rsid w:val="004A6066"/>
    <w:rsid w:val="004B158B"/>
    <w:rsid w:val="004B36F3"/>
    <w:rsid w:val="004D043B"/>
    <w:rsid w:val="004D2CEB"/>
    <w:rsid w:val="005057DE"/>
    <w:rsid w:val="00507807"/>
    <w:rsid w:val="00516A5D"/>
    <w:rsid w:val="00520687"/>
    <w:rsid w:val="00546DE0"/>
    <w:rsid w:val="00551AE9"/>
    <w:rsid w:val="00584AC5"/>
    <w:rsid w:val="005D30A8"/>
    <w:rsid w:val="005D741B"/>
    <w:rsid w:val="005E4D29"/>
    <w:rsid w:val="005E6723"/>
    <w:rsid w:val="005F34DB"/>
    <w:rsid w:val="006256C9"/>
    <w:rsid w:val="006257AA"/>
    <w:rsid w:val="00661EDC"/>
    <w:rsid w:val="00670213"/>
    <w:rsid w:val="00670762"/>
    <w:rsid w:val="00691665"/>
    <w:rsid w:val="00697A54"/>
    <w:rsid w:val="006E2F46"/>
    <w:rsid w:val="006E6BE9"/>
    <w:rsid w:val="007241C2"/>
    <w:rsid w:val="0072716C"/>
    <w:rsid w:val="007507E7"/>
    <w:rsid w:val="0076028F"/>
    <w:rsid w:val="00780813"/>
    <w:rsid w:val="00785169"/>
    <w:rsid w:val="007853E6"/>
    <w:rsid w:val="00797AB5"/>
    <w:rsid w:val="007B1F08"/>
    <w:rsid w:val="007F2269"/>
    <w:rsid w:val="007F41E9"/>
    <w:rsid w:val="00846A14"/>
    <w:rsid w:val="00864008"/>
    <w:rsid w:val="00875B41"/>
    <w:rsid w:val="00882948"/>
    <w:rsid w:val="00883C42"/>
    <w:rsid w:val="00885E5F"/>
    <w:rsid w:val="00892A5D"/>
    <w:rsid w:val="008A3866"/>
    <w:rsid w:val="008A59B8"/>
    <w:rsid w:val="008B0C62"/>
    <w:rsid w:val="008B7606"/>
    <w:rsid w:val="008D44BB"/>
    <w:rsid w:val="008F2FFD"/>
    <w:rsid w:val="00917FFB"/>
    <w:rsid w:val="009575D0"/>
    <w:rsid w:val="0097339D"/>
    <w:rsid w:val="00975C6E"/>
    <w:rsid w:val="0098764A"/>
    <w:rsid w:val="009E3870"/>
    <w:rsid w:val="009F4205"/>
    <w:rsid w:val="00A04761"/>
    <w:rsid w:val="00A05E4A"/>
    <w:rsid w:val="00A256DA"/>
    <w:rsid w:val="00A276B1"/>
    <w:rsid w:val="00A33723"/>
    <w:rsid w:val="00A463B4"/>
    <w:rsid w:val="00A516A5"/>
    <w:rsid w:val="00A52D41"/>
    <w:rsid w:val="00A56E84"/>
    <w:rsid w:val="00A603AE"/>
    <w:rsid w:val="00A7267C"/>
    <w:rsid w:val="00AA19A6"/>
    <w:rsid w:val="00AD68EA"/>
    <w:rsid w:val="00AE4652"/>
    <w:rsid w:val="00AF0BC4"/>
    <w:rsid w:val="00B067EA"/>
    <w:rsid w:val="00B15C21"/>
    <w:rsid w:val="00B3265A"/>
    <w:rsid w:val="00B62177"/>
    <w:rsid w:val="00B74A22"/>
    <w:rsid w:val="00BB5D7D"/>
    <w:rsid w:val="00BB6429"/>
    <w:rsid w:val="00BD2B39"/>
    <w:rsid w:val="00BE1F10"/>
    <w:rsid w:val="00BF67EB"/>
    <w:rsid w:val="00C00296"/>
    <w:rsid w:val="00C16333"/>
    <w:rsid w:val="00C3113B"/>
    <w:rsid w:val="00C51BBE"/>
    <w:rsid w:val="00C723EE"/>
    <w:rsid w:val="00C7333C"/>
    <w:rsid w:val="00C747CE"/>
    <w:rsid w:val="00C76103"/>
    <w:rsid w:val="00C85266"/>
    <w:rsid w:val="00CD708C"/>
    <w:rsid w:val="00CE19ED"/>
    <w:rsid w:val="00D0789F"/>
    <w:rsid w:val="00D22FF0"/>
    <w:rsid w:val="00D35ED9"/>
    <w:rsid w:val="00D508E2"/>
    <w:rsid w:val="00D5115B"/>
    <w:rsid w:val="00D5177C"/>
    <w:rsid w:val="00D51BFF"/>
    <w:rsid w:val="00D63A79"/>
    <w:rsid w:val="00D66153"/>
    <w:rsid w:val="00D81941"/>
    <w:rsid w:val="00DB18DE"/>
    <w:rsid w:val="00DB4C6A"/>
    <w:rsid w:val="00DD4BE3"/>
    <w:rsid w:val="00DD66B9"/>
    <w:rsid w:val="00E333CF"/>
    <w:rsid w:val="00E4136E"/>
    <w:rsid w:val="00E9355B"/>
    <w:rsid w:val="00EA6604"/>
    <w:rsid w:val="00EA72F1"/>
    <w:rsid w:val="00EB6C9A"/>
    <w:rsid w:val="00EC1B0C"/>
    <w:rsid w:val="00EC1ED5"/>
    <w:rsid w:val="00EE0A5A"/>
    <w:rsid w:val="00EF6574"/>
    <w:rsid w:val="00F13753"/>
    <w:rsid w:val="00F42F05"/>
    <w:rsid w:val="00F4490C"/>
    <w:rsid w:val="00F651C1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03934"/>
  <w15:chartTrackingRefBased/>
  <w15:docId w15:val="{42596103-E840-4B03-84F1-6A4B339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8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54"/>
  </w:style>
  <w:style w:type="paragraph" w:styleId="Footer">
    <w:name w:val="footer"/>
    <w:basedOn w:val="Normal"/>
    <w:link w:val="FooterChar"/>
    <w:uiPriority w:val="99"/>
    <w:unhideWhenUsed/>
    <w:rsid w:val="0069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54"/>
  </w:style>
  <w:style w:type="paragraph" w:styleId="BalloonText">
    <w:name w:val="Balloon Text"/>
    <w:basedOn w:val="Normal"/>
    <w:link w:val="BalloonTextChar"/>
    <w:uiPriority w:val="99"/>
    <w:semiHidden/>
    <w:unhideWhenUsed/>
    <w:rsid w:val="0043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1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6" ma:contentTypeDescription="Create a new document." ma:contentTypeScope="" ma:versionID="33e97ccfd74ecbaa858dda04445a27c0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a56d2810c4afda2252c7d2c22f66c891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8B654-B0C4-40C7-8C9C-66CF02BD1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F5FDC-820D-497A-BD7A-7D66F1868DF7}"/>
</file>

<file path=customXml/itemProps3.xml><?xml version="1.0" encoding="utf-8"?>
<ds:datastoreItem xmlns:ds="http://schemas.openxmlformats.org/officeDocument/2006/customXml" ds:itemID="{DEF5C072-9918-405B-B796-455A7CBDF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433</Words>
  <Characters>2690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Yolea Mayers</dc:creator>
  <cp:keywords/>
  <dc:description/>
  <cp:lastModifiedBy>Betzangelee Serrano</cp:lastModifiedBy>
  <cp:revision>23</cp:revision>
  <dcterms:created xsi:type="dcterms:W3CDTF">2023-06-16T14:51:00Z</dcterms:created>
  <dcterms:modified xsi:type="dcterms:W3CDTF">2023-09-14T14:10:00Z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11f29a681df23a28188ccfdaa149b77bdaa9382b535a919ac683a59806834a93</vt:lpwstr>
  </property>
</Properties>
</file>