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0FCE" w14:textId="77777777" w:rsidR="00DA385A" w:rsidRPr="005350E0" w:rsidRDefault="00DA385A" w:rsidP="006869C0">
      <w:pPr>
        <w:pBdr>
          <w:bottom w:val="single" w:sz="12" w:space="1" w:color="auto"/>
        </w:pBd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780309F" w14:textId="38095777" w:rsidR="006869C0" w:rsidRPr="005350E0" w:rsidRDefault="00735711" w:rsidP="006869C0">
      <w:pPr>
        <w:pBdr>
          <w:bottom w:val="single" w:sz="12" w:space="1" w:color="auto"/>
        </w:pBdr>
        <w:jc w:val="both"/>
        <w:rPr>
          <w:rFonts w:ascii="Century Gothic" w:hAnsi="Century Gothic"/>
          <w:b/>
          <w:bCs/>
          <w:sz w:val="52"/>
          <w:szCs w:val="52"/>
        </w:rPr>
      </w:pPr>
      <w:r w:rsidRPr="005350E0">
        <w:rPr>
          <w:rFonts w:ascii="Century Gothic" w:hAnsi="Century Gothic"/>
          <w:b/>
          <w:bCs/>
          <w:sz w:val="40"/>
          <w:szCs w:val="40"/>
        </w:rPr>
        <w:t>Plantilla del Plan de Reubicación URA</w:t>
      </w:r>
    </w:p>
    <w:p w14:paraId="4BD6167B" w14:textId="450B2553" w:rsidR="006869C0" w:rsidRPr="005350E0" w:rsidRDefault="00735711" w:rsidP="006869C0">
      <w:pPr>
        <w:jc w:val="both"/>
        <w:rPr>
          <w:rFonts w:ascii="Century Gothic" w:hAnsi="Century Gothic"/>
          <w:b/>
          <w:bCs/>
        </w:rPr>
      </w:pPr>
      <w:r w:rsidRPr="005350E0">
        <w:rPr>
          <w:rFonts w:ascii="Century Gothic" w:hAnsi="Century Gothic"/>
          <w:b/>
          <w:bCs/>
        </w:rPr>
        <w:t>Resumen</w:t>
      </w:r>
    </w:p>
    <w:p w14:paraId="79636B27" w14:textId="1465A54A" w:rsidR="00172692" w:rsidRDefault="00B13545" w:rsidP="005350E0">
      <w:pPr>
        <w:jc w:val="both"/>
        <w:rPr>
          <w:rFonts w:ascii="Century Gothic" w:hAnsi="Century Gothic"/>
        </w:rPr>
      </w:pPr>
      <w:r w:rsidRPr="00B13545">
        <w:rPr>
          <w:rFonts w:ascii="Century Gothic" w:hAnsi="Century Gothic"/>
        </w:rPr>
        <w:t>Todas las actividades financiadas con fondos CDBG-DR</w:t>
      </w:r>
      <w:r>
        <w:rPr>
          <w:rFonts w:ascii="Century Gothic" w:hAnsi="Century Gothic"/>
        </w:rPr>
        <w:t xml:space="preserve"> y CDBG-</w:t>
      </w:r>
      <w:r w:rsidRPr="00B13545">
        <w:rPr>
          <w:rFonts w:ascii="Century Gothic" w:hAnsi="Century Gothic"/>
        </w:rPr>
        <w:t>MIT están sujetas a las disposiciones de la Ley de Políticas Uniformes de Asistencia para la Reubicación y Adquisición de Bienes Inmuebles de 1970 (</w:t>
      </w:r>
      <w:r w:rsidRPr="005350E0">
        <w:rPr>
          <w:rFonts w:ascii="Century Gothic" w:hAnsi="Century Gothic"/>
          <w:b/>
        </w:rPr>
        <w:t>Ley URA</w:t>
      </w:r>
      <w:r w:rsidRPr="00B13545">
        <w:rPr>
          <w:rFonts w:ascii="Century Gothic" w:hAnsi="Century Gothic"/>
        </w:rPr>
        <w:t xml:space="preserve">), según enmendada, 42 U.S.C. § 4601 </w:t>
      </w:r>
      <w:r w:rsidRPr="005350E0">
        <w:rPr>
          <w:rFonts w:ascii="Century Gothic" w:hAnsi="Century Gothic"/>
          <w:i/>
        </w:rPr>
        <w:t xml:space="preserve">et </w:t>
      </w:r>
      <w:proofErr w:type="spellStart"/>
      <w:r w:rsidRPr="005350E0">
        <w:rPr>
          <w:rFonts w:ascii="Century Gothic" w:hAnsi="Century Gothic"/>
          <w:i/>
        </w:rPr>
        <w:t>seq</w:t>
      </w:r>
      <w:proofErr w:type="spellEnd"/>
      <w:r w:rsidRPr="005350E0">
        <w:rPr>
          <w:rFonts w:ascii="Century Gothic" w:hAnsi="Century Gothic"/>
          <w:i/>
        </w:rPr>
        <w:t>.</w:t>
      </w:r>
      <w:r>
        <w:rPr>
          <w:rFonts w:ascii="Century Gothic" w:hAnsi="Century Gothic"/>
        </w:rPr>
        <w:t xml:space="preserve"> </w:t>
      </w:r>
      <w:r w:rsidRPr="00B13545">
        <w:rPr>
          <w:rFonts w:ascii="Century Gothic" w:hAnsi="Century Gothic"/>
        </w:rPr>
        <w:t xml:space="preserve">Cada Plan de Reubicación de </w:t>
      </w:r>
      <w:r>
        <w:rPr>
          <w:rFonts w:ascii="Century Gothic" w:hAnsi="Century Gothic"/>
        </w:rPr>
        <w:t xml:space="preserve">Ley </w:t>
      </w:r>
      <w:r w:rsidRPr="00B13545">
        <w:rPr>
          <w:rFonts w:ascii="Century Gothic" w:hAnsi="Century Gothic"/>
        </w:rPr>
        <w:t xml:space="preserve">URA </w:t>
      </w:r>
      <w:r w:rsidR="00172692" w:rsidRPr="005350E0">
        <w:rPr>
          <w:rFonts w:ascii="Century Gothic" w:hAnsi="Century Gothic"/>
        </w:rPr>
        <w:t xml:space="preserve">diferirá en función del alcance del proyecto y de las necesidades de cada ocupante. La información que figura a continuación ofrece un breve resumen de los componentes necesarios </w:t>
      </w:r>
      <w:r>
        <w:rPr>
          <w:rFonts w:ascii="Century Gothic" w:hAnsi="Century Gothic"/>
        </w:rPr>
        <w:t>para un</w:t>
      </w:r>
      <w:r w:rsidR="00172692" w:rsidRPr="005350E0">
        <w:rPr>
          <w:rFonts w:ascii="Century Gothic" w:hAnsi="Century Gothic"/>
        </w:rPr>
        <w:t xml:space="preserve"> plan de reubicación completo. Los planes de reubicación deben </w:t>
      </w:r>
      <w:r>
        <w:rPr>
          <w:rFonts w:ascii="Century Gothic" w:hAnsi="Century Gothic"/>
        </w:rPr>
        <w:t>ser elaborados</w:t>
      </w:r>
      <w:r w:rsidR="00172692" w:rsidRPr="005350E0">
        <w:rPr>
          <w:rFonts w:ascii="Century Gothic" w:hAnsi="Century Gothic"/>
        </w:rPr>
        <w:t xml:space="preserve"> por el </w:t>
      </w:r>
      <w:r>
        <w:rPr>
          <w:rFonts w:ascii="Century Gothic" w:hAnsi="Century Gothic"/>
        </w:rPr>
        <w:t>E</w:t>
      </w:r>
      <w:r w:rsidR="00172692" w:rsidRPr="005350E0">
        <w:rPr>
          <w:rFonts w:ascii="Century Gothic" w:hAnsi="Century Gothic"/>
        </w:rPr>
        <w:t xml:space="preserve">specialista en </w:t>
      </w:r>
      <w:r>
        <w:rPr>
          <w:rFonts w:ascii="Century Gothic" w:hAnsi="Century Gothic"/>
        </w:rPr>
        <w:t>R</w:t>
      </w:r>
      <w:r w:rsidR="00172692" w:rsidRPr="005350E0">
        <w:rPr>
          <w:rFonts w:ascii="Century Gothic" w:hAnsi="Century Gothic"/>
        </w:rPr>
        <w:t xml:space="preserve">eubicación designado por el </w:t>
      </w:r>
      <w:proofErr w:type="spellStart"/>
      <w:r w:rsidR="00172692" w:rsidRPr="005350E0">
        <w:rPr>
          <w:rFonts w:ascii="Century Gothic" w:hAnsi="Century Gothic"/>
        </w:rPr>
        <w:t>Subrecipiente</w:t>
      </w:r>
      <w:proofErr w:type="spellEnd"/>
      <w:r>
        <w:rPr>
          <w:rFonts w:ascii="Century Gothic" w:hAnsi="Century Gothic"/>
        </w:rPr>
        <w:t>,</w:t>
      </w:r>
      <w:r w:rsidR="00172692" w:rsidRPr="005350E0">
        <w:rPr>
          <w:rFonts w:ascii="Century Gothic" w:hAnsi="Century Gothic"/>
        </w:rPr>
        <w:t xml:space="preserve"> de acuerdo con la</w:t>
      </w:r>
      <w:r>
        <w:rPr>
          <w:rFonts w:ascii="Century Gothic" w:hAnsi="Century Gothic"/>
        </w:rPr>
        <w:t>s</w:t>
      </w:r>
      <w:r w:rsidR="00172692" w:rsidRPr="005350E0">
        <w:rPr>
          <w:rFonts w:ascii="Century Gothic" w:hAnsi="Century Gothic"/>
        </w:rPr>
        <w:t xml:space="preserve"> normativa</w:t>
      </w:r>
      <w:r>
        <w:rPr>
          <w:rFonts w:ascii="Century Gothic" w:hAnsi="Century Gothic"/>
        </w:rPr>
        <w:t>s</w:t>
      </w:r>
      <w:r w:rsidR="00172692" w:rsidRPr="005350E0">
        <w:rPr>
          <w:rFonts w:ascii="Century Gothic" w:hAnsi="Century Gothic"/>
        </w:rPr>
        <w:t xml:space="preserve"> de</w:t>
      </w:r>
      <w:r w:rsidR="00013E8C">
        <w:rPr>
          <w:rFonts w:ascii="Century Gothic" w:hAnsi="Century Gothic"/>
        </w:rPr>
        <w:t>l Departamento de Vivienda y Desarrollo Urbano de los Estados Unidos</w:t>
      </w:r>
      <w:r w:rsidR="00172692" w:rsidRPr="005350E0">
        <w:rPr>
          <w:rFonts w:ascii="Century Gothic" w:hAnsi="Century Gothic"/>
        </w:rPr>
        <w:t xml:space="preserve"> </w:t>
      </w:r>
      <w:r w:rsidR="00013E8C">
        <w:rPr>
          <w:rFonts w:ascii="Century Gothic" w:hAnsi="Century Gothic"/>
        </w:rPr>
        <w:t>(</w:t>
      </w:r>
      <w:r w:rsidR="00172692" w:rsidRPr="005350E0">
        <w:rPr>
          <w:rFonts w:ascii="Century Gothic" w:hAnsi="Century Gothic"/>
          <w:b/>
          <w:bCs/>
        </w:rPr>
        <w:t>HUD</w:t>
      </w:r>
      <w:r w:rsidR="00013E8C">
        <w:rPr>
          <w:rFonts w:ascii="Century Gothic" w:hAnsi="Century Gothic"/>
        </w:rPr>
        <w:t>, por sus siglas en inglés)</w:t>
      </w:r>
      <w:r w:rsidR="00172692" w:rsidRPr="005350E0">
        <w:rPr>
          <w:rFonts w:ascii="Century Gothic" w:hAnsi="Century Gothic"/>
        </w:rPr>
        <w:t xml:space="preserve"> </w:t>
      </w:r>
      <w:r w:rsidRPr="00B13545">
        <w:rPr>
          <w:rFonts w:ascii="Century Gothic" w:hAnsi="Century Gothic"/>
        </w:rPr>
        <w:t>establecidas para la planificación, servicios de asesoramiento y coordinación de la reubicación.</w:t>
      </w:r>
      <w:r>
        <w:rPr>
          <w:rStyle w:val="FootnoteReference"/>
          <w:rFonts w:ascii="Century Gothic" w:hAnsi="Century Gothic"/>
        </w:rPr>
        <w:footnoteReference w:id="1"/>
      </w:r>
    </w:p>
    <w:p w14:paraId="7587F3A4" w14:textId="77777777" w:rsidR="00013E8C" w:rsidRPr="005350E0" w:rsidRDefault="00013E8C" w:rsidP="006869C0">
      <w:pPr>
        <w:pBdr>
          <w:bottom w:val="single" w:sz="12" w:space="1" w:color="auto"/>
        </w:pBdr>
        <w:jc w:val="both"/>
        <w:rPr>
          <w:rFonts w:ascii="Century Gothic" w:hAnsi="Century Gothic"/>
        </w:rPr>
      </w:pPr>
    </w:p>
    <w:p w14:paraId="2091312D" w14:textId="2CAFFAE9" w:rsidR="006869C0" w:rsidRPr="005350E0" w:rsidRDefault="006869C0" w:rsidP="006869C0">
      <w:pPr>
        <w:jc w:val="both"/>
        <w:rPr>
          <w:rFonts w:ascii="Century Gothic" w:hAnsi="Century Gothic"/>
          <w:b/>
          <w:bCs/>
          <w:u w:val="single"/>
        </w:rPr>
      </w:pPr>
      <w:r w:rsidRPr="005350E0">
        <w:rPr>
          <w:rFonts w:ascii="Century Gothic" w:hAnsi="Century Gothic"/>
          <w:b/>
          <w:bCs/>
          <w:u w:val="single"/>
        </w:rPr>
        <w:t>Conten</w:t>
      </w:r>
      <w:r w:rsidR="00745553" w:rsidRPr="005350E0">
        <w:rPr>
          <w:rFonts w:ascii="Century Gothic" w:hAnsi="Century Gothic"/>
          <w:b/>
          <w:bCs/>
          <w:u w:val="single"/>
        </w:rPr>
        <w:t xml:space="preserve">ido del Plan de Reubicación </w:t>
      </w:r>
      <w:r w:rsidRPr="005350E0">
        <w:rPr>
          <w:rFonts w:ascii="Century Gothic" w:hAnsi="Century Gothic"/>
          <w:b/>
          <w:bCs/>
          <w:u w:val="single"/>
        </w:rPr>
        <w:t xml:space="preserve"> </w:t>
      </w:r>
    </w:p>
    <w:p w14:paraId="7D185C7E" w14:textId="2B26A272" w:rsidR="006869C0" w:rsidRPr="005350E0" w:rsidRDefault="00713611" w:rsidP="006869C0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ALCANCE</w:t>
      </w:r>
      <w:r w:rsidR="00806ACB" w:rsidRPr="005350E0">
        <w:rPr>
          <w:rFonts w:ascii="Century Gothic" w:hAnsi="Century Gothic"/>
          <w:b/>
          <w:bCs/>
        </w:rPr>
        <w:t xml:space="preserve"> DEL PROYECTO</w:t>
      </w:r>
    </w:p>
    <w:p w14:paraId="4B1F21F4" w14:textId="658E6AE1" w:rsidR="00EE3FC2" w:rsidRPr="005350E0" w:rsidRDefault="004A42D6" w:rsidP="00EE3FC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 w:rsidRPr="005350E0">
        <w:rPr>
          <w:rFonts w:ascii="Century Gothic" w:hAnsi="Century Gothic"/>
        </w:rPr>
        <w:t xml:space="preserve">Proporcione una descripción general </w:t>
      </w:r>
      <w:r w:rsidRPr="005350E0">
        <w:rPr>
          <w:rFonts w:ascii="Century Gothic" w:hAnsi="Century Gothic"/>
          <w:bCs/>
        </w:rPr>
        <w:t>del proyecto</w:t>
      </w:r>
      <w:r w:rsidRPr="005350E0">
        <w:rPr>
          <w:rFonts w:ascii="Century Gothic" w:hAnsi="Century Gothic"/>
        </w:rPr>
        <w:t>, incluyendo las actividades</w:t>
      </w:r>
      <w:r w:rsidR="005915DB" w:rsidRPr="005350E0">
        <w:rPr>
          <w:rFonts w:ascii="Century Gothic" w:hAnsi="Century Gothic"/>
        </w:rPr>
        <w:t xml:space="preserve"> previstas</w:t>
      </w:r>
      <w:r w:rsidRPr="005350E0">
        <w:rPr>
          <w:rFonts w:ascii="Century Gothic" w:hAnsi="Century Gothic"/>
        </w:rPr>
        <w:t xml:space="preserve"> de construcción, rehabilitación y/o demolición, y si se producirá una adquisición voluntaria o involuntaria. </w:t>
      </w:r>
      <w:r w:rsidR="00B13545" w:rsidRPr="00B13545">
        <w:rPr>
          <w:rFonts w:ascii="Century Gothic" w:hAnsi="Century Gothic"/>
        </w:rPr>
        <w:t xml:space="preserve">Las descripciones de las actividades deben ser específicas, identificando los </w:t>
      </w:r>
      <w:r w:rsidR="00B13545">
        <w:rPr>
          <w:rFonts w:ascii="Century Gothic" w:hAnsi="Century Gothic"/>
        </w:rPr>
        <w:t>retos</w:t>
      </w:r>
      <w:r w:rsidR="00B13545" w:rsidRPr="00B13545">
        <w:rPr>
          <w:rFonts w:ascii="Century Gothic" w:hAnsi="Century Gothic"/>
        </w:rPr>
        <w:t xml:space="preserve"> previstos en las actividades de adquisición o reubicación y delineando </w:t>
      </w:r>
      <w:r w:rsidR="00B13545">
        <w:rPr>
          <w:rFonts w:ascii="Century Gothic" w:hAnsi="Century Gothic"/>
        </w:rPr>
        <w:t>un</w:t>
      </w:r>
      <w:r w:rsidR="00B13545" w:rsidRPr="00B13545">
        <w:rPr>
          <w:rFonts w:ascii="Century Gothic" w:hAnsi="Century Gothic"/>
        </w:rPr>
        <w:t xml:space="preserve"> plan de acción para </w:t>
      </w:r>
      <w:r w:rsidR="00BE076E">
        <w:rPr>
          <w:rFonts w:ascii="Century Gothic" w:hAnsi="Century Gothic"/>
        </w:rPr>
        <w:t>atende</w:t>
      </w:r>
      <w:r w:rsidR="00B13545" w:rsidRPr="00B13545">
        <w:rPr>
          <w:rFonts w:ascii="Century Gothic" w:hAnsi="Century Gothic"/>
        </w:rPr>
        <w:t>rlos.</w:t>
      </w:r>
    </w:p>
    <w:p w14:paraId="07987466" w14:textId="0F8C269C" w:rsidR="006869C0" w:rsidRPr="005350E0" w:rsidRDefault="00806ACB" w:rsidP="00EE3FC2">
      <w:pPr>
        <w:jc w:val="both"/>
        <w:rPr>
          <w:rFonts w:ascii="Century Gothic" w:hAnsi="Century Gothic"/>
          <w:b/>
          <w:bCs/>
        </w:rPr>
      </w:pPr>
      <w:r w:rsidRPr="005350E0">
        <w:rPr>
          <w:rFonts w:ascii="Century Gothic" w:hAnsi="Century Gothic"/>
          <w:b/>
          <w:bCs/>
        </w:rPr>
        <w:t>PARTES RESPONSABLES</w:t>
      </w:r>
    </w:p>
    <w:p w14:paraId="21D44EC1" w14:textId="6C8EB7CB" w:rsidR="00266F24" w:rsidRPr="005350E0" w:rsidRDefault="00662DD3" w:rsidP="006869C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 w:rsidRPr="005350E0">
        <w:rPr>
          <w:rFonts w:ascii="Century Gothic" w:hAnsi="Century Gothic"/>
        </w:rPr>
        <w:t>Incluya a l</w:t>
      </w:r>
      <w:r w:rsidR="00B13545">
        <w:rPr>
          <w:rFonts w:ascii="Century Gothic" w:hAnsi="Century Gothic"/>
        </w:rPr>
        <w:t>as partes</w:t>
      </w:r>
      <w:r w:rsidRPr="005350E0">
        <w:rPr>
          <w:rFonts w:ascii="Century Gothic" w:hAnsi="Century Gothic"/>
        </w:rPr>
        <w:t xml:space="preserve"> </w:t>
      </w:r>
      <w:r w:rsidRPr="005350E0">
        <w:rPr>
          <w:rFonts w:ascii="Century Gothic" w:hAnsi="Century Gothic"/>
          <w:bCs/>
        </w:rPr>
        <w:t>responsables</w:t>
      </w:r>
      <w:r w:rsidRPr="005350E0">
        <w:rPr>
          <w:rFonts w:ascii="Century Gothic" w:hAnsi="Century Gothic"/>
        </w:rPr>
        <w:t xml:space="preserve"> de la ejecución del plan de reubicación (por ejemplo</w:t>
      </w:r>
      <w:r w:rsidR="00B13545">
        <w:rPr>
          <w:rFonts w:ascii="Century Gothic" w:hAnsi="Century Gothic"/>
        </w:rPr>
        <w:t>,</w:t>
      </w:r>
      <w:r w:rsidRPr="005350E0">
        <w:rPr>
          <w:rFonts w:ascii="Century Gothic" w:hAnsi="Century Gothic"/>
        </w:rPr>
        <w:t xml:space="preserve"> </w:t>
      </w:r>
      <w:r w:rsidR="00B13545">
        <w:rPr>
          <w:rFonts w:ascii="Century Gothic" w:hAnsi="Century Gothic"/>
        </w:rPr>
        <w:t>E</w:t>
      </w:r>
      <w:r w:rsidRPr="005350E0">
        <w:rPr>
          <w:rFonts w:ascii="Century Gothic" w:hAnsi="Century Gothic"/>
        </w:rPr>
        <w:t xml:space="preserve">specialista en </w:t>
      </w:r>
      <w:r w:rsidR="00B13545">
        <w:rPr>
          <w:rFonts w:ascii="Century Gothic" w:hAnsi="Century Gothic"/>
        </w:rPr>
        <w:t>R</w:t>
      </w:r>
      <w:r w:rsidRPr="005350E0">
        <w:rPr>
          <w:rFonts w:ascii="Century Gothic" w:hAnsi="Century Gothic"/>
        </w:rPr>
        <w:t xml:space="preserve">eubicación, </w:t>
      </w:r>
      <w:r w:rsidR="00B13545">
        <w:rPr>
          <w:rFonts w:ascii="Century Gothic" w:hAnsi="Century Gothic"/>
        </w:rPr>
        <w:t>M</w:t>
      </w:r>
      <w:r w:rsidRPr="005350E0">
        <w:rPr>
          <w:rFonts w:ascii="Century Gothic" w:hAnsi="Century Gothic"/>
        </w:rPr>
        <w:t xml:space="preserve">anejador del </w:t>
      </w:r>
      <w:r w:rsidR="00B13545">
        <w:rPr>
          <w:rFonts w:ascii="Century Gothic" w:hAnsi="Century Gothic"/>
        </w:rPr>
        <w:t>P</w:t>
      </w:r>
      <w:r w:rsidRPr="005350E0">
        <w:rPr>
          <w:rFonts w:ascii="Century Gothic" w:hAnsi="Century Gothic"/>
        </w:rPr>
        <w:t>royecto, etc.)</w:t>
      </w:r>
    </w:p>
    <w:p w14:paraId="2BA077DD" w14:textId="0B052C6E" w:rsidR="006869C0" w:rsidRPr="005350E0" w:rsidRDefault="005876FB" w:rsidP="00266F24">
      <w:pPr>
        <w:jc w:val="both"/>
        <w:rPr>
          <w:rFonts w:ascii="Century Gothic" w:hAnsi="Century Gothic"/>
          <w:b/>
          <w:bCs/>
        </w:rPr>
      </w:pPr>
      <w:r w:rsidRPr="005350E0">
        <w:rPr>
          <w:rFonts w:ascii="Century Gothic" w:hAnsi="Century Gothic"/>
          <w:b/>
          <w:bCs/>
        </w:rPr>
        <w:t>CRONOLOGÍA Y COORDINACIÓN DE SERVICIOS DE ASESORAMIENTO PARA REUBICACIÓN</w:t>
      </w:r>
    </w:p>
    <w:p w14:paraId="11DC921D" w14:textId="71C9F1F2" w:rsidR="00A44925" w:rsidRPr="005350E0" w:rsidRDefault="00A44925" w:rsidP="00A4492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5350E0">
        <w:rPr>
          <w:rFonts w:ascii="Century Gothic" w:hAnsi="Century Gothic"/>
        </w:rPr>
        <w:t xml:space="preserve">Proporcione un </w:t>
      </w:r>
      <w:r w:rsidR="00713611" w:rsidRPr="005350E0">
        <w:rPr>
          <w:rFonts w:ascii="Century Gothic" w:hAnsi="Century Gothic"/>
          <w:bCs/>
        </w:rPr>
        <w:t>c</w:t>
      </w:r>
      <w:r w:rsidR="00713611">
        <w:rPr>
          <w:rFonts w:ascii="Century Gothic" w:hAnsi="Century Gothic"/>
          <w:bCs/>
        </w:rPr>
        <w:t>alendario de trabajo</w:t>
      </w:r>
      <w:r w:rsidR="00713611" w:rsidRPr="005350E0">
        <w:rPr>
          <w:rFonts w:ascii="Century Gothic" w:hAnsi="Century Gothic"/>
          <w:bCs/>
        </w:rPr>
        <w:t xml:space="preserve"> </w:t>
      </w:r>
      <w:r w:rsidRPr="005350E0">
        <w:rPr>
          <w:rFonts w:ascii="Century Gothic" w:hAnsi="Century Gothic"/>
          <w:bCs/>
        </w:rPr>
        <w:t xml:space="preserve">claro de las actividades de </w:t>
      </w:r>
      <w:r w:rsidR="00B358E9" w:rsidRPr="005350E0">
        <w:rPr>
          <w:rFonts w:ascii="Century Gothic" w:hAnsi="Century Gothic"/>
          <w:bCs/>
        </w:rPr>
        <w:t>reubicación</w:t>
      </w:r>
      <w:r w:rsidRPr="005350E0">
        <w:rPr>
          <w:rFonts w:ascii="Century Gothic" w:hAnsi="Century Gothic"/>
        </w:rPr>
        <w:t>, junto con el plazo previsto de entrega de l</w:t>
      </w:r>
      <w:r w:rsidR="00B13545">
        <w:rPr>
          <w:rFonts w:ascii="Century Gothic" w:hAnsi="Century Gothic"/>
        </w:rPr>
        <w:t>os avisos requeridos por la Ley URA</w:t>
      </w:r>
      <w:r w:rsidRPr="005350E0">
        <w:rPr>
          <w:rFonts w:ascii="Century Gothic" w:hAnsi="Century Gothic"/>
        </w:rPr>
        <w:t>.</w:t>
      </w:r>
    </w:p>
    <w:p w14:paraId="55DE0C92" w14:textId="6B53D0AA" w:rsidR="00A44925" w:rsidRPr="005350E0" w:rsidRDefault="00A44925" w:rsidP="00A4492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5350E0">
        <w:rPr>
          <w:rFonts w:ascii="Century Gothic" w:hAnsi="Century Gothic"/>
        </w:rPr>
        <w:t>Incluir si se producirá un</w:t>
      </w:r>
      <w:r w:rsidR="009E5441" w:rsidRPr="005350E0">
        <w:rPr>
          <w:rFonts w:ascii="Century Gothic" w:hAnsi="Century Gothic"/>
        </w:rPr>
        <w:t>a</w:t>
      </w:r>
      <w:r w:rsidRPr="005350E0">
        <w:rPr>
          <w:rFonts w:ascii="Century Gothic" w:hAnsi="Century Gothic"/>
        </w:rPr>
        <w:t xml:space="preserve"> </w:t>
      </w:r>
      <w:r w:rsidRPr="005350E0">
        <w:rPr>
          <w:rFonts w:ascii="Century Gothic" w:hAnsi="Century Gothic"/>
          <w:bCs/>
        </w:rPr>
        <w:t>re</w:t>
      </w:r>
      <w:r w:rsidR="009E5441" w:rsidRPr="005350E0">
        <w:rPr>
          <w:rFonts w:ascii="Century Gothic" w:hAnsi="Century Gothic"/>
          <w:bCs/>
        </w:rPr>
        <w:t xml:space="preserve">ubicación </w:t>
      </w:r>
      <w:r w:rsidRPr="005350E0">
        <w:rPr>
          <w:rFonts w:ascii="Century Gothic" w:hAnsi="Century Gothic"/>
          <w:bCs/>
        </w:rPr>
        <w:t>temporal</w:t>
      </w:r>
      <w:r w:rsidRPr="005350E0">
        <w:rPr>
          <w:rFonts w:ascii="Century Gothic" w:hAnsi="Century Gothic"/>
        </w:rPr>
        <w:t xml:space="preserve"> y/o un </w:t>
      </w:r>
      <w:r w:rsidRPr="005350E0">
        <w:rPr>
          <w:rFonts w:ascii="Century Gothic" w:hAnsi="Century Gothic"/>
          <w:bCs/>
        </w:rPr>
        <w:t>desplazamiento permanente</w:t>
      </w:r>
      <w:r w:rsidR="00B13545">
        <w:rPr>
          <w:rFonts w:ascii="Century Gothic" w:hAnsi="Century Gothic"/>
        </w:rPr>
        <w:t xml:space="preserve">, así como </w:t>
      </w:r>
      <w:r w:rsidRPr="005350E0">
        <w:rPr>
          <w:rFonts w:ascii="Century Gothic" w:hAnsi="Century Gothic"/>
        </w:rPr>
        <w:t xml:space="preserve">el número de </w:t>
      </w:r>
      <w:r w:rsidRPr="005350E0">
        <w:rPr>
          <w:rFonts w:ascii="Century Gothic" w:hAnsi="Century Gothic"/>
          <w:bCs/>
        </w:rPr>
        <w:t>hogares de inquilinos y/u ocupantes no residenciales</w:t>
      </w:r>
      <w:r w:rsidRPr="005350E0">
        <w:rPr>
          <w:rFonts w:ascii="Century Gothic" w:hAnsi="Century Gothic"/>
        </w:rPr>
        <w:t xml:space="preserve"> que se verán afectados.</w:t>
      </w:r>
    </w:p>
    <w:p w14:paraId="4295130F" w14:textId="2A0FBEBE" w:rsidR="00A44925" w:rsidRPr="005350E0" w:rsidRDefault="00A44925" w:rsidP="00A4492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5350E0">
        <w:rPr>
          <w:rFonts w:ascii="Century Gothic" w:hAnsi="Century Gothic"/>
        </w:rPr>
        <w:t xml:space="preserve">Incluir un </w:t>
      </w:r>
      <w:r w:rsidRPr="005350E0">
        <w:rPr>
          <w:rFonts w:ascii="Century Gothic" w:hAnsi="Century Gothic"/>
          <w:bCs/>
        </w:rPr>
        <w:t>estimado de viviendas de reemplazo comparables disponibles</w:t>
      </w:r>
      <w:r w:rsidRPr="005350E0">
        <w:rPr>
          <w:rFonts w:ascii="Century Gothic" w:hAnsi="Century Gothic"/>
        </w:rPr>
        <w:t xml:space="preserve"> en el área, incluyendo </w:t>
      </w:r>
      <w:r w:rsidR="00C27E48">
        <w:rPr>
          <w:rFonts w:ascii="Century Gothic" w:hAnsi="Century Gothic"/>
        </w:rPr>
        <w:t xml:space="preserve">los </w:t>
      </w:r>
      <w:r w:rsidRPr="005350E0">
        <w:rPr>
          <w:rFonts w:ascii="Century Gothic" w:hAnsi="Century Gothic"/>
        </w:rPr>
        <w:t xml:space="preserve">cánones de alquiler y venta </w:t>
      </w:r>
      <w:r w:rsidRPr="005350E0">
        <w:rPr>
          <w:rFonts w:ascii="Century Gothic" w:hAnsi="Century Gothic"/>
          <w:i/>
          <w:iCs/>
          <w:u w:val="single"/>
        </w:rPr>
        <w:t>tanto</w:t>
      </w:r>
      <w:r w:rsidRPr="005350E0">
        <w:rPr>
          <w:rFonts w:ascii="Century Gothic" w:hAnsi="Century Gothic"/>
        </w:rPr>
        <w:t xml:space="preserve"> para ocupantes residenciales como no residenciales.</w:t>
      </w:r>
    </w:p>
    <w:p w14:paraId="462331C7" w14:textId="2A57DF19" w:rsidR="006869C0" w:rsidRPr="005350E0" w:rsidRDefault="00A44925" w:rsidP="00A44925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5350E0">
        <w:rPr>
          <w:rFonts w:ascii="Century Gothic" w:hAnsi="Century Gothic"/>
        </w:rPr>
        <w:t xml:space="preserve">Establecer un </w:t>
      </w:r>
      <w:r w:rsidRPr="005350E0">
        <w:rPr>
          <w:rFonts w:ascii="Century Gothic" w:hAnsi="Century Gothic"/>
          <w:bCs/>
        </w:rPr>
        <w:t xml:space="preserve">resumen de los beneficios y </w:t>
      </w:r>
      <w:r w:rsidR="00C27E48">
        <w:rPr>
          <w:rFonts w:ascii="Century Gothic" w:hAnsi="Century Gothic"/>
          <w:bCs/>
        </w:rPr>
        <w:t xml:space="preserve">la </w:t>
      </w:r>
      <w:r w:rsidRPr="005350E0">
        <w:rPr>
          <w:rFonts w:ascii="Century Gothic" w:hAnsi="Century Gothic"/>
          <w:bCs/>
        </w:rPr>
        <w:t>asistencia</w:t>
      </w:r>
      <w:r w:rsidRPr="005350E0">
        <w:rPr>
          <w:rFonts w:ascii="Century Gothic" w:hAnsi="Century Gothic"/>
        </w:rPr>
        <w:t xml:space="preserve"> de re</w:t>
      </w:r>
      <w:r w:rsidR="00724031" w:rsidRPr="005350E0">
        <w:rPr>
          <w:rFonts w:ascii="Century Gothic" w:hAnsi="Century Gothic"/>
        </w:rPr>
        <w:t>ubicación</w:t>
      </w:r>
      <w:r w:rsidRPr="005350E0">
        <w:rPr>
          <w:rFonts w:ascii="Century Gothic" w:hAnsi="Century Gothic"/>
        </w:rPr>
        <w:t xml:space="preserve"> que se proporcionará </w:t>
      </w:r>
      <w:r w:rsidR="00C27E48" w:rsidRPr="00C27E48">
        <w:rPr>
          <w:rFonts w:ascii="Century Gothic" w:hAnsi="Century Gothic"/>
        </w:rPr>
        <w:t>según el tipo de ocupante y reubicación</w:t>
      </w:r>
      <w:r w:rsidRPr="005350E0">
        <w:rPr>
          <w:rFonts w:ascii="Century Gothic" w:hAnsi="Century Gothic"/>
        </w:rPr>
        <w:t xml:space="preserve">, </w:t>
      </w:r>
      <w:r w:rsidR="00013E8C" w:rsidRPr="005350E0">
        <w:rPr>
          <w:rFonts w:ascii="Century Gothic" w:hAnsi="Century Gothic"/>
        </w:rPr>
        <w:t>inclu</w:t>
      </w:r>
      <w:r w:rsidR="00013E8C">
        <w:rPr>
          <w:rFonts w:ascii="Century Gothic" w:hAnsi="Century Gothic"/>
        </w:rPr>
        <w:t>yendo</w:t>
      </w:r>
      <w:r w:rsidR="00013E8C" w:rsidRPr="005350E0">
        <w:rPr>
          <w:rFonts w:ascii="Century Gothic" w:hAnsi="Century Gothic"/>
        </w:rPr>
        <w:t xml:space="preserve"> </w:t>
      </w:r>
      <w:r w:rsidRPr="005350E0">
        <w:rPr>
          <w:rFonts w:ascii="Century Gothic" w:hAnsi="Century Gothic"/>
        </w:rPr>
        <w:t xml:space="preserve">el plan </w:t>
      </w:r>
      <w:r w:rsidR="00C27E48" w:rsidRPr="00C27E48">
        <w:rPr>
          <w:rFonts w:ascii="Century Gothic" w:hAnsi="Century Gothic"/>
        </w:rPr>
        <w:t xml:space="preserve">para buscar y ofrecer viviendas </w:t>
      </w:r>
      <w:r w:rsidRPr="005350E0">
        <w:rPr>
          <w:rFonts w:ascii="Century Gothic" w:hAnsi="Century Gothic"/>
        </w:rPr>
        <w:t xml:space="preserve">de </w:t>
      </w:r>
      <w:r w:rsidR="00C27E48">
        <w:rPr>
          <w:rFonts w:ascii="Century Gothic" w:hAnsi="Century Gothic"/>
        </w:rPr>
        <w:t>reemplazo</w:t>
      </w:r>
      <w:r w:rsidR="00C27E48" w:rsidRPr="005350E0">
        <w:rPr>
          <w:rFonts w:ascii="Century Gothic" w:hAnsi="Century Gothic"/>
        </w:rPr>
        <w:t xml:space="preserve"> </w:t>
      </w:r>
      <w:r w:rsidRPr="005350E0">
        <w:rPr>
          <w:rFonts w:ascii="Century Gothic" w:hAnsi="Century Gothic"/>
        </w:rPr>
        <w:t>comparables.</w:t>
      </w:r>
    </w:p>
    <w:p w14:paraId="0953C72F" w14:textId="4378E698" w:rsidR="006869C0" w:rsidRPr="005350E0" w:rsidRDefault="000A62E5" w:rsidP="006869C0">
      <w:pPr>
        <w:jc w:val="both"/>
        <w:rPr>
          <w:rFonts w:ascii="Century Gothic" w:hAnsi="Century Gothic"/>
          <w:b/>
          <w:bCs/>
        </w:rPr>
      </w:pPr>
      <w:r w:rsidRPr="005350E0">
        <w:rPr>
          <w:rFonts w:ascii="Century Gothic" w:hAnsi="Century Gothic"/>
          <w:b/>
          <w:bCs/>
        </w:rPr>
        <w:t>ENCUESTA A LOS OCUPANTES</w:t>
      </w:r>
    </w:p>
    <w:p w14:paraId="60D658E9" w14:textId="3209E607" w:rsidR="00506FA9" w:rsidRPr="005350E0" w:rsidRDefault="00506FA9" w:rsidP="005350E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lang w:val="es-419"/>
        </w:rPr>
      </w:pPr>
      <w:r w:rsidRPr="005350E0">
        <w:rPr>
          <w:rFonts w:ascii="Century Gothic" w:hAnsi="Century Gothic"/>
          <w:lang w:val="es-419"/>
        </w:rPr>
        <w:t xml:space="preserve">El plan </w:t>
      </w:r>
      <w:r w:rsidR="00013E8C" w:rsidRPr="005350E0">
        <w:rPr>
          <w:rFonts w:ascii="Century Gothic" w:hAnsi="Century Gothic"/>
          <w:lang w:val="es-419"/>
        </w:rPr>
        <w:t xml:space="preserve">de reubicación </w:t>
      </w:r>
      <w:r w:rsidRPr="005350E0">
        <w:rPr>
          <w:rFonts w:ascii="Century Gothic" w:hAnsi="Century Gothic"/>
          <w:lang w:val="es-419"/>
        </w:rPr>
        <w:t xml:space="preserve">debe incluir un resumen de los resultados de la encuesta a los ocupantes </w:t>
      </w:r>
      <w:r w:rsidR="009B0986" w:rsidRPr="005350E0">
        <w:rPr>
          <w:rFonts w:ascii="Century Gothic" w:hAnsi="Century Gothic"/>
          <w:lang w:val="es-419"/>
        </w:rPr>
        <w:t>en el cual</w:t>
      </w:r>
      <w:r w:rsidRPr="005350E0">
        <w:rPr>
          <w:rFonts w:ascii="Century Gothic" w:hAnsi="Century Gothic"/>
          <w:lang w:val="es-419"/>
        </w:rPr>
        <w:t xml:space="preserve">, como mínimo, se haya </w:t>
      </w:r>
      <w:r w:rsidR="009B0986" w:rsidRPr="005350E0">
        <w:rPr>
          <w:rFonts w:ascii="Century Gothic" w:hAnsi="Century Gothic"/>
          <w:lang w:val="es-419"/>
        </w:rPr>
        <w:t xml:space="preserve">recopilado </w:t>
      </w:r>
      <w:r w:rsidRPr="005350E0">
        <w:rPr>
          <w:rFonts w:ascii="Century Gothic" w:hAnsi="Century Gothic"/>
          <w:lang w:val="es-419"/>
        </w:rPr>
        <w:t xml:space="preserve">la información indicada en la </w:t>
      </w:r>
      <w:r w:rsidR="00013E8C" w:rsidRPr="005350E0">
        <w:rPr>
          <w:rFonts w:ascii="Century Gothic" w:hAnsi="Century Gothic"/>
          <w:b/>
          <w:lang w:val="es-419"/>
        </w:rPr>
        <w:t>S</w:t>
      </w:r>
      <w:r w:rsidRPr="005350E0">
        <w:rPr>
          <w:rFonts w:ascii="Century Gothic" w:hAnsi="Century Gothic"/>
          <w:b/>
          <w:lang w:val="es-419"/>
        </w:rPr>
        <w:t xml:space="preserve">ección 10 de la </w:t>
      </w:r>
      <w:r w:rsidR="00C27E48" w:rsidRPr="005350E0">
        <w:rPr>
          <w:rFonts w:ascii="Century Gothic" w:hAnsi="Century Gothic"/>
          <w:b/>
          <w:lang w:val="es-419"/>
        </w:rPr>
        <w:t>L</w:t>
      </w:r>
      <w:r w:rsidRPr="005350E0">
        <w:rPr>
          <w:rFonts w:ascii="Century Gothic" w:hAnsi="Century Gothic"/>
          <w:b/>
          <w:lang w:val="es-419"/>
        </w:rPr>
        <w:t xml:space="preserve">ista de </w:t>
      </w:r>
      <w:r w:rsidR="0027328C" w:rsidRPr="005350E0">
        <w:rPr>
          <w:rFonts w:ascii="Century Gothic" w:hAnsi="Century Gothic"/>
          <w:b/>
          <w:lang w:val="es-419"/>
        </w:rPr>
        <w:t>C</w:t>
      </w:r>
      <w:r w:rsidRPr="005350E0">
        <w:rPr>
          <w:rFonts w:ascii="Century Gothic" w:hAnsi="Century Gothic"/>
          <w:b/>
          <w:lang w:val="es-419"/>
        </w:rPr>
        <w:t xml:space="preserve">otejo de </w:t>
      </w:r>
      <w:r w:rsidR="0027328C" w:rsidRPr="005350E0">
        <w:rPr>
          <w:rFonts w:ascii="Century Gothic" w:hAnsi="Century Gothic"/>
          <w:b/>
          <w:lang w:val="es-419"/>
        </w:rPr>
        <w:t>C</w:t>
      </w:r>
      <w:r w:rsidRPr="005350E0">
        <w:rPr>
          <w:rFonts w:ascii="Century Gothic" w:hAnsi="Century Gothic"/>
          <w:b/>
          <w:lang w:val="es-419"/>
        </w:rPr>
        <w:t xml:space="preserve">umplimiento de </w:t>
      </w:r>
      <w:r w:rsidR="0027328C" w:rsidRPr="005350E0">
        <w:rPr>
          <w:rFonts w:ascii="Century Gothic" w:hAnsi="Century Gothic"/>
          <w:b/>
          <w:lang w:val="es-419"/>
        </w:rPr>
        <w:t xml:space="preserve">Ley </w:t>
      </w:r>
      <w:r w:rsidRPr="005350E0">
        <w:rPr>
          <w:rFonts w:ascii="Century Gothic" w:hAnsi="Century Gothic"/>
          <w:b/>
          <w:lang w:val="es-419"/>
        </w:rPr>
        <w:t>URA #4</w:t>
      </w:r>
      <w:r w:rsidRPr="005350E0">
        <w:rPr>
          <w:rFonts w:ascii="Century Gothic" w:hAnsi="Century Gothic"/>
          <w:lang w:val="es-419"/>
        </w:rPr>
        <w:t xml:space="preserve">, tanto para los ocupantes residenciales como para los no residenciales. </w:t>
      </w:r>
    </w:p>
    <w:p w14:paraId="74210D2F" w14:textId="5AB6433E" w:rsidR="00013E8C" w:rsidRPr="005350E0" w:rsidRDefault="00506FA9" w:rsidP="005350E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5350E0">
        <w:rPr>
          <w:rFonts w:ascii="Century Gothic" w:hAnsi="Century Gothic"/>
          <w:lang w:val="es-419"/>
        </w:rPr>
        <w:t xml:space="preserve">Por favor, incluya cualquier detalle adicional pertinente a las necesidades específicas de reubicación de los ocupantes, ya que los requisitos pueden </w:t>
      </w:r>
      <w:r w:rsidR="009B0986" w:rsidRPr="005350E0">
        <w:rPr>
          <w:rFonts w:ascii="Century Gothic" w:hAnsi="Century Gothic"/>
          <w:lang w:val="es-419"/>
        </w:rPr>
        <w:t>variar según los diferentes tipos de ocupantes y reubicación.</w:t>
      </w:r>
    </w:p>
    <w:p w14:paraId="32180B50" w14:textId="77777777" w:rsidR="00FE53DF" w:rsidRPr="005350E0" w:rsidRDefault="00FE53DF" w:rsidP="005350E0">
      <w:pPr>
        <w:pStyle w:val="ListParagraph"/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6080167D" w14:textId="4AE0EE05" w:rsidR="006869C0" w:rsidRPr="005350E0" w:rsidRDefault="00EB2002" w:rsidP="000F3F91">
      <w:pPr>
        <w:jc w:val="both"/>
        <w:rPr>
          <w:rFonts w:ascii="Century Gothic" w:hAnsi="Century Gothic"/>
          <w:b/>
          <w:bCs/>
        </w:rPr>
      </w:pPr>
      <w:r w:rsidRPr="005350E0">
        <w:rPr>
          <w:rFonts w:ascii="Century Gothic" w:hAnsi="Century Gothic"/>
          <w:b/>
          <w:bCs/>
        </w:rPr>
        <w:t>PLANIFICACI</w:t>
      </w:r>
      <w:r w:rsidR="006F0805" w:rsidRPr="005350E0">
        <w:rPr>
          <w:rFonts w:ascii="Century Gothic" w:hAnsi="Century Gothic"/>
          <w:b/>
          <w:bCs/>
        </w:rPr>
        <w:t>Ó</w:t>
      </w:r>
      <w:r w:rsidRPr="005350E0">
        <w:rPr>
          <w:rFonts w:ascii="Century Gothic" w:hAnsi="Century Gothic"/>
          <w:b/>
          <w:bCs/>
        </w:rPr>
        <w:t>N FINANCIERA</w:t>
      </w:r>
    </w:p>
    <w:p w14:paraId="4FB38546" w14:textId="2E161707" w:rsidR="003818D2" w:rsidRPr="00DD5955" w:rsidRDefault="003818D2" w:rsidP="00217A1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Cs/>
        </w:rPr>
      </w:pPr>
      <w:r w:rsidRPr="005350E0">
        <w:rPr>
          <w:rFonts w:ascii="Century Gothic" w:hAnsi="Century Gothic"/>
          <w:bCs/>
        </w:rPr>
        <w:t xml:space="preserve">Proporcione el presupuesto del proyecto, incluyendo los costos asociados con las actividades de reubicación. </w:t>
      </w:r>
      <w:r w:rsidR="00A2340D" w:rsidRPr="00A2340D">
        <w:rPr>
          <w:rFonts w:ascii="Century Gothic" w:hAnsi="Century Gothic"/>
          <w:bCs/>
        </w:rPr>
        <w:t>Es esencial que el presupuesto del proyecto incluya la asignación adecuada de recursos para garantizar cumplimiento con la Ley URA</w:t>
      </w:r>
      <w:r w:rsidR="00A2340D">
        <w:rPr>
          <w:rFonts w:ascii="Century Gothic" w:hAnsi="Century Gothic"/>
          <w:bCs/>
        </w:rPr>
        <w:t>.</w:t>
      </w:r>
    </w:p>
    <w:p w14:paraId="06936332" w14:textId="5F286525" w:rsidR="00217A17" w:rsidRPr="005350E0" w:rsidRDefault="00426904" w:rsidP="00217A17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U</w:t>
      </w:r>
      <w:r w:rsidRPr="006F3768">
        <w:rPr>
          <w:rFonts w:ascii="Century Gothic" w:hAnsi="Century Gothic"/>
        </w:rPr>
        <w:t xml:space="preserve">n </w:t>
      </w:r>
      <w:r w:rsidRPr="006F3768">
        <w:rPr>
          <w:rFonts w:ascii="Century Gothic" w:hAnsi="Century Gothic"/>
          <w:bCs/>
        </w:rPr>
        <w:t>plan para el desembolso de fondos relacionados con la reubicación residencial permanente y temporal</w:t>
      </w:r>
      <w:r w:rsidR="00D05455">
        <w:rPr>
          <w:rFonts w:ascii="Century Gothic" w:hAnsi="Century Gothic"/>
        </w:rPr>
        <w:t>, c</w:t>
      </w:r>
      <w:r w:rsidR="00013E8C" w:rsidRPr="00CF0352">
        <w:rPr>
          <w:rFonts w:ascii="Century Gothic" w:hAnsi="Century Gothic"/>
        </w:rPr>
        <w:t xml:space="preserve">on los detalles enumerados en la </w:t>
      </w:r>
      <w:r w:rsidR="00013E8C" w:rsidRPr="00CF0352">
        <w:rPr>
          <w:rFonts w:ascii="Century Gothic" w:hAnsi="Century Gothic"/>
          <w:b/>
          <w:bCs/>
        </w:rPr>
        <w:t>Sección 13 de la Lista de Cotejo de Cumplimiento de URA #4</w:t>
      </w:r>
      <w:r w:rsidR="00217A17" w:rsidRPr="005350E0">
        <w:rPr>
          <w:rFonts w:ascii="Century Gothic" w:hAnsi="Century Gothic"/>
          <w:bCs/>
        </w:rPr>
        <w:t>.</w:t>
      </w:r>
    </w:p>
    <w:p w14:paraId="73237FB9" w14:textId="11507A93" w:rsidR="00A34D98" w:rsidRPr="005350E0" w:rsidRDefault="00D05455" w:rsidP="005350E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41214F">
        <w:rPr>
          <w:rFonts w:ascii="Century Gothic" w:hAnsi="Century Gothic"/>
        </w:rPr>
        <w:t xml:space="preserve">n </w:t>
      </w:r>
      <w:r w:rsidRPr="0041214F">
        <w:rPr>
          <w:rFonts w:ascii="Century Gothic" w:hAnsi="Century Gothic"/>
          <w:bCs/>
        </w:rPr>
        <w:t>plan para el desembolso de fondos relacionados con la reubicación permanente y temporal (muy inusual) no residencial</w:t>
      </w:r>
      <w:r>
        <w:rPr>
          <w:rFonts w:ascii="Century Gothic" w:hAnsi="Century Gothic"/>
        </w:rPr>
        <w:t>, c</w:t>
      </w:r>
      <w:r w:rsidR="00013E8C" w:rsidRPr="00BE613F">
        <w:rPr>
          <w:rFonts w:ascii="Century Gothic" w:hAnsi="Century Gothic"/>
        </w:rPr>
        <w:t xml:space="preserve">on los detalles que figuran en la </w:t>
      </w:r>
      <w:r w:rsidR="00013E8C" w:rsidRPr="00BE613F">
        <w:rPr>
          <w:rFonts w:ascii="Century Gothic" w:hAnsi="Century Gothic"/>
          <w:b/>
          <w:bCs/>
        </w:rPr>
        <w:t>Sección 14 de la Lista de Cotejo de Cumplimiento de URA #4</w:t>
      </w:r>
      <w:r w:rsidR="0019133A">
        <w:rPr>
          <w:rFonts w:ascii="Century Gothic" w:hAnsi="Century Gothic"/>
          <w:b/>
          <w:bCs/>
        </w:rPr>
        <w:t xml:space="preserve"> </w:t>
      </w:r>
      <w:r w:rsidR="0019133A" w:rsidRPr="00B13545">
        <w:rPr>
          <w:rFonts w:ascii="Century Gothic" w:hAnsi="Century Gothic"/>
        </w:rPr>
        <w:t>(si aplica)</w:t>
      </w:r>
      <w:r w:rsidR="00217A17" w:rsidRPr="005350E0">
        <w:rPr>
          <w:rFonts w:ascii="Century Gothic" w:hAnsi="Century Gothic"/>
        </w:rPr>
        <w:t>.</w:t>
      </w:r>
    </w:p>
    <w:p w14:paraId="1377C8CF" w14:textId="27609019" w:rsidR="006869C0" w:rsidRPr="005350E0" w:rsidRDefault="006869C0" w:rsidP="006869C0">
      <w:pPr>
        <w:jc w:val="both"/>
        <w:rPr>
          <w:rFonts w:ascii="Century Gothic" w:hAnsi="Century Gothic"/>
          <w:b/>
          <w:bCs/>
        </w:rPr>
      </w:pPr>
      <w:r w:rsidRPr="005350E0">
        <w:rPr>
          <w:rFonts w:ascii="Century Gothic" w:hAnsi="Century Gothic"/>
          <w:b/>
          <w:bCs/>
        </w:rPr>
        <w:t>R</w:t>
      </w:r>
      <w:r w:rsidR="00514CE1" w:rsidRPr="005350E0">
        <w:rPr>
          <w:rFonts w:ascii="Century Gothic" w:hAnsi="Century Gothic"/>
          <w:b/>
          <w:bCs/>
        </w:rPr>
        <w:t>EGISTRO DE DATOS</w:t>
      </w:r>
    </w:p>
    <w:p w14:paraId="755F6C83" w14:textId="3ADB3B0E" w:rsidR="006869C0" w:rsidRPr="005350E0" w:rsidRDefault="004B0381" w:rsidP="006869C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 w:rsidRPr="004B0381">
        <w:rPr>
          <w:rFonts w:ascii="Century Gothic" w:hAnsi="Century Gothic"/>
        </w:rPr>
        <w:t>Detall</w:t>
      </w:r>
      <w:r>
        <w:rPr>
          <w:rFonts w:ascii="Century Gothic" w:hAnsi="Century Gothic"/>
        </w:rPr>
        <w:t>ar</w:t>
      </w:r>
      <w:r w:rsidRPr="004B0381">
        <w:rPr>
          <w:rFonts w:ascii="Century Gothic" w:hAnsi="Century Gothic"/>
        </w:rPr>
        <w:t xml:space="preserve"> los procedimientos para mantener registros de correspondencia, encuestas a los ocupantes, pagos, quejas y apelaciones.</w:t>
      </w:r>
    </w:p>
    <w:p w14:paraId="68D2CA15" w14:textId="77777777" w:rsidR="006869C0" w:rsidRPr="005350E0" w:rsidRDefault="006869C0" w:rsidP="006869C0">
      <w:pPr>
        <w:jc w:val="both"/>
        <w:rPr>
          <w:rFonts w:ascii="Century Gothic" w:hAnsi="Century Gothic"/>
        </w:rPr>
      </w:pPr>
    </w:p>
    <w:p w14:paraId="29688CF7" w14:textId="77777777" w:rsidR="00F6299C" w:rsidRPr="005350E0" w:rsidRDefault="00F6299C">
      <w:pPr>
        <w:rPr>
          <w:rFonts w:ascii="Century Gothic" w:hAnsi="Century Gothic"/>
        </w:rPr>
      </w:pPr>
    </w:p>
    <w:sectPr w:rsidR="00F6299C" w:rsidRPr="005350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7561" w14:textId="77777777" w:rsidR="00223F95" w:rsidRDefault="00223F95" w:rsidP="005110D2">
      <w:pPr>
        <w:spacing w:after="0" w:line="240" w:lineRule="auto"/>
      </w:pPr>
      <w:r>
        <w:separator/>
      </w:r>
    </w:p>
  </w:endnote>
  <w:endnote w:type="continuationSeparator" w:id="0">
    <w:p w14:paraId="2DB66AB8" w14:textId="77777777" w:rsidR="00223F95" w:rsidRDefault="00223F95" w:rsidP="0051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9DE7" w14:textId="77777777" w:rsidR="00223F95" w:rsidRDefault="00223F95" w:rsidP="005110D2">
      <w:pPr>
        <w:spacing w:after="0" w:line="240" w:lineRule="auto"/>
      </w:pPr>
      <w:r>
        <w:separator/>
      </w:r>
    </w:p>
  </w:footnote>
  <w:footnote w:type="continuationSeparator" w:id="0">
    <w:p w14:paraId="37979514" w14:textId="77777777" w:rsidR="00223F95" w:rsidRDefault="00223F95" w:rsidP="005110D2">
      <w:pPr>
        <w:spacing w:after="0" w:line="240" w:lineRule="auto"/>
      </w:pPr>
      <w:r>
        <w:continuationSeparator/>
      </w:r>
    </w:p>
  </w:footnote>
  <w:footnote w:id="1">
    <w:p w14:paraId="07A3BA64" w14:textId="26778D06" w:rsidR="00B13545" w:rsidRPr="005350E0" w:rsidRDefault="00B13545" w:rsidP="005350E0">
      <w:pPr>
        <w:pStyle w:val="FootnoteText"/>
        <w:jc w:val="both"/>
        <w:rPr>
          <w:rFonts w:ascii="Century Gothic" w:hAnsi="Century Gothic"/>
          <w:sz w:val="16"/>
          <w:szCs w:val="16"/>
          <w:lang w:val="es-419"/>
        </w:rPr>
      </w:pPr>
      <w:r w:rsidRPr="005350E0">
        <w:rPr>
          <w:rStyle w:val="FootnoteReference"/>
          <w:rFonts w:ascii="Century Gothic" w:hAnsi="Century Gothic"/>
          <w:sz w:val="16"/>
          <w:szCs w:val="16"/>
        </w:rPr>
        <w:footnoteRef/>
      </w:r>
      <w:r w:rsidRPr="005350E0">
        <w:rPr>
          <w:rFonts w:ascii="Century Gothic" w:hAnsi="Century Gothic"/>
          <w:sz w:val="16"/>
          <w:szCs w:val="16"/>
        </w:rPr>
        <w:t xml:space="preserve"> </w:t>
      </w:r>
      <w:r w:rsidRPr="005350E0">
        <w:rPr>
          <w:rFonts w:ascii="Century Gothic" w:hAnsi="Century Gothic"/>
          <w:sz w:val="16"/>
          <w:szCs w:val="16"/>
          <w:lang w:val="es-419"/>
        </w:rPr>
        <w:t>Véase, 49 C.F.R. § 24.205(a) hasta (e). Todas las regulaciones para la implementación de la Ley URA se encuentran en 49 C.F.R. Parte 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1049" w14:textId="58ADE77E" w:rsidR="005110D2" w:rsidRDefault="005110D2">
    <w:pPr>
      <w:pStyle w:val="Header"/>
    </w:pPr>
    <w:r>
      <w:rPr>
        <w:noProof/>
      </w:rPr>
      <w:drawing>
        <wp:inline distT="0" distB="0" distL="0" distR="0" wp14:anchorId="2A56C964" wp14:editId="25701A4E">
          <wp:extent cx="1505585" cy="4756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71850"/>
    <w:multiLevelType w:val="hybridMultilevel"/>
    <w:tmpl w:val="A864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120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23"/>
    <w:rsid w:val="00013E8C"/>
    <w:rsid w:val="00037262"/>
    <w:rsid w:val="000549E3"/>
    <w:rsid w:val="00096536"/>
    <w:rsid w:val="000A62E5"/>
    <w:rsid w:val="000C135A"/>
    <w:rsid w:val="000D5789"/>
    <w:rsid w:val="000F3F91"/>
    <w:rsid w:val="00172692"/>
    <w:rsid w:val="0018085C"/>
    <w:rsid w:val="00182C9D"/>
    <w:rsid w:val="0019133A"/>
    <w:rsid w:val="001A5B8C"/>
    <w:rsid w:val="001F0D57"/>
    <w:rsid w:val="00217A17"/>
    <w:rsid w:val="00223F95"/>
    <w:rsid w:val="00266F24"/>
    <w:rsid w:val="0027328C"/>
    <w:rsid w:val="002B4D89"/>
    <w:rsid w:val="002E6FB6"/>
    <w:rsid w:val="00326949"/>
    <w:rsid w:val="003818D2"/>
    <w:rsid w:val="00384DCF"/>
    <w:rsid w:val="0038513E"/>
    <w:rsid w:val="00426904"/>
    <w:rsid w:val="00466FE1"/>
    <w:rsid w:val="004A42D6"/>
    <w:rsid w:val="004B0381"/>
    <w:rsid w:val="00506FA9"/>
    <w:rsid w:val="005110D2"/>
    <w:rsid w:val="00514CE1"/>
    <w:rsid w:val="00515EFE"/>
    <w:rsid w:val="005350E0"/>
    <w:rsid w:val="005876FB"/>
    <w:rsid w:val="005915DB"/>
    <w:rsid w:val="00662DD3"/>
    <w:rsid w:val="00666142"/>
    <w:rsid w:val="00685462"/>
    <w:rsid w:val="006869C0"/>
    <w:rsid w:val="006A127E"/>
    <w:rsid w:val="006F0805"/>
    <w:rsid w:val="00713611"/>
    <w:rsid w:val="00724031"/>
    <w:rsid w:val="00735711"/>
    <w:rsid w:val="00745553"/>
    <w:rsid w:val="00791C46"/>
    <w:rsid w:val="007F5BE5"/>
    <w:rsid w:val="00806ACB"/>
    <w:rsid w:val="00892A23"/>
    <w:rsid w:val="008B0260"/>
    <w:rsid w:val="008D16A6"/>
    <w:rsid w:val="008E1A85"/>
    <w:rsid w:val="009B0986"/>
    <w:rsid w:val="009B35CB"/>
    <w:rsid w:val="009E5441"/>
    <w:rsid w:val="00A2340D"/>
    <w:rsid w:val="00A34D98"/>
    <w:rsid w:val="00A44925"/>
    <w:rsid w:val="00AA42D1"/>
    <w:rsid w:val="00B06007"/>
    <w:rsid w:val="00B13545"/>
    <w:rsid w:val="00B358E9"/>
    <w:rsid w:val="00B35B86"/>
    <w:rsid w:val="00BC44FC"/>
    <w:rsid w:val="00BE076E"/>
    <w:rsid w:val="00C27E48"/>
    <w:rsid w:val="00C54E56"/>
    <w:rsid w:val="00C81BCD"/>
    <w:rsid w:val="00D02774"/>
    <w:rsid w:val="00D05455"/>
    <w:rsid w:val="00DA385A"/>
    <w:rsid w:val="00DD2796"/>
    <w:rsid w:val="00DD5955"/>
    <w:rsid w:val="00E523D3"/>
    <w:rsid w:val="00E81A9F"/>
    <w:rsid w:val="00EB2002"/>
    <w:rsid w:val="00EE3FC2"/>
    <w:rsid w:val="00F6299C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A59A2"/>
  <w15:chartTrackingRefBased/>
  <w15:docId w15:val="{C12E2A9E-FC0F-4969-BE6F-F339A98C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9C0"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D2"/>
  </w:style>
  <w:style w:type="paragraph" w:styleId="Footer">
    <w:name w:val="footer"/>
    <w:basedOn w:val="Normal"/>
    <w:link w:val="FooterChar"/>
    <w:uiPriority w:val="99"/>
    <w:unhideWhenUsed/>
    <w:rsid w:val="0051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D2"/>
  </w:style>
  <w:style w:type="paragraph" w:styleId="ListParagraph">
    <w:name w:val="List Paragraph"/>
    <w:basedOn w:val="Normal"/>
    <w:uiPriority w:val="34"/>
    <w:qFormat/>
    <w:rsid w:val="006869C0"/>
    <w:pPr>
      <w:ind w:left="720"/>
      <w:contextualSpacing/>
    </w:pPr>
  </w:style>
  <w:style w:type="paragraph" w:styleId="Revision">
    <w:name w:val="Revision"/>
    <w:hidden/>
    <w:uiPriority w:val="99"/>
    <w:semiHidden/>
    <w:rsid w:val="000C135A"/>
    <w:pPr>
      <w:spacing w:after="0" w:line="240" w:lineRule="auto"/>
    </w:pPr>
  </w:style>
  <w:style w:type="character" w:customStyle="1" w:styleId="hgkelc">
    <w:name w:val="hgkelc"/>
    <w:basedOn w:val="DefaultParagraphFont"/>
    <w:rsid w:val="00FE53DF"/>
  </w:style>
  <w:style w:type="character" w:styleId="CommentReference">
    <w:name w:val="annotation reference"/>
    <w:basedOn w:val="DefaultParagraphFont"/>
    <w:uiPriority w:val="99"/>
    <w:semiHidden/>
    <w:unhideWhenUsed/>
    <w:rsid w:val="00FE5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3DF"/>
    <w:rPr>
      <w:sz w:val="20"/>
      <w:szCs w:val="20"/>
      <w:lang w:val="es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3DF"/>
    <w:rPr>
      <w:b/>
      <w:bCs/>
      <w:sz w:val="20"/>
      <w:szCs w:val="20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45"/>
    <w:rPr>
      <w:rFonts w:ascii="Segoe UI" w:hAnsi="Segoe UI" w:cs="Segoe UI"/>
      <w:sz w:val="18"/>
      <w:szCs w:val="18"/>
      <w:lang w:val="es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5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545"/>
    <w:rPr>
      <w:sz w:val="20"/>
      <w:szCs w:val="20"/>
      <w:lang w:val="es-US"/>
    </w:rPr>
  </w:style>
  <w:style w:type="character" w:styleId="FootnoteReference">
    <w:name w:val="footnote reference"/>
    <w:basedOn w:val="DefaultParagraphFont"/>
    <w:uiPriority w:val="99"/>
    <w:semiHidden/>
    <w:unhideWhenUsed/>
    <w:rsid w:val="00B13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16" ma:contentTypeDescription="Create a new document." ma:contentTypeScope="" ma:versionID="33e97ccfd74ecbaa858dda04445a27c0">
  <xsd:schema xmlns:xsd="http://www.w3.org/2001/XMLSchema" xmlns:xs="http://www.w3.org/2001/XMLSchema" xmlns:p="http://schemas.microsoft.com/office/2006/metadata/properties" xmlns:ns2="31ea520e-bf34-4e98-a1d0-fe474a913a6a" xmlns:ns3="e98da306-844e-4308-915f-a3ee9b246ed6" targetNamespace="http://schemas.microsoft.com/office/2006/metadata/properties" ma:root="true" ma:fieldsID="a56d2810c4afda2252c7d2c22f66c891" ns2:_="" ns3:_="">
    <xsd:import namespace="31ea520e-bf34-4e98-a1d0-fe474a913a6a"/>
    <xsd:import namespace="e98da306-844e-4308-915f-a3ee9b246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dbb1c4-2de4-4844-af95-f2d6fcd1b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a306-844e-4308-915f-a3ee9b246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562777-9902-4d90-a5b1-1cdbea9620ed}" ma:internalName="TaxCatchAll" ma:showField="CatchAllData" ma:web="e98da306-844e-4308-915f-a3ee9b246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38920-2A36-443B-9B3D-E42D39EB9D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BC119C-DCA3-41F5-836C-4642C0EF5FAE}"/>
</file>

<file path=customXml/itemProps3.xml><?xml version="1.0" encoding="utf-8"?>
<ds:datastoreItem xmlns:ds="http://schemas.openxmlformats.org/officeDocument/2006/customXml" ds:itemID="{7845D5BA-212D-4E9B-9534-D21D19D3E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555</Words>
  <Characters>3151</Characters>
  <Application>Microsoft Office Word</Application>
  <DocSecurity>0</DocSecurity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Jelina Colon</dc:creator>
  <cp:keywords/>
  <dc:description/>
  <cp:lastModifiedBy>Betzangelee Serrano</cp:lastModifiedBy>
  <cp:revision>51</cp:revision>
  <dcterms:created xsi:type="dcterms:W3CDTF">2023-06-16T14:56:00Z</dcterms:created>
  <dcterms:modified xsi:type="dcterms:W3CDTF">2023-09-14T14:09:00Z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b3c7172366ba654e82d161d77bac1651becde9508025ab9cb7c4d5f7c01e7d00</vt:lpwstr>
  </property>
</Properties>
</file>