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24AE" w14:textId="77777777" w:rsidR="00D15044" w:rsidRPr="00BA0702" w:rsidRDefault="00D15044" w:rsidP="00FB0A0B">
      <w:pPr>
        <w:pStyle w:val="Default"/>
        <w:rPr>
          <w:rFonts w:ascii="Century Gothic" w:hAnsi="Century Gothic"/>
          <w:sz w:val="22"/>
          <w:szCs w:val="22"/>
          <w:lang w:bidi="en-US"/>
        </w:rPr>
      </w:pPr>
    </w:p>
    <w:p w14:paraId="00482FF1" w14:textId="012C55E9" w:rsidR="00D15044" w:rsidRPr="00BA0702" w:rsidRDefault="00D15044" w:rsidP="0066668B">
      <w:pPr>
        <w:pStyle w:val="Default"/>
        <w:rPr>
          <w:rFonts w:ascii="Century Gothic" w:hAnsi="Century Gothic"/>
          <w:sz w:val="22"/>
          <w:szCs w:val="22"/>
          <w:lang w:bidi="en-US"/>
        </w:rPr>
      </w:pPr>
    </w:p>
    <w:p w14:paraId="22E3B844" w14:textId="367D16BD" w:rsidR="00EF3907" w:rsidRPr="00EF3907" w:rsidRDefault="00EF3907" w:rsidP="008B4EF8">
      <w:pPr>
        <w:pStyle w:val="Default"/>
        <w:ind w:left="5040"/>
        <w:rPr>
          <w:rStyle w:val="normaltextrun"/>
          <w:rFonts w:ascii="Century Gothic" w:hAnsi="Century Gothic" w:cs="Segoe UI"/>
          <w:sz w:val="16"/>
          <w:szCs w:val="16"/>
          <w:lang w:val="es-PR"/>
        </w:rPr>
      </w:pPr>
      <w:r>
        <w:rPr>
          <w:rStyle w:val="normaltextrun"/>
          <w:rFonts w:ascii="Century Gothic" w:hAnsi="Century Gothic" w:cs="Segoe UI"/>
          <w:sz w:val="16"/>
          <w:szCs w:val="16"/>
          <w:lang w:val="es-PR"/>
        </w:rPr>
        <w:t xml:space="preserve">  </w:t>
      </w:r>
      <w:r w:rsidRPr="00EF3907">
        <w:rPr>
          <w:rStyle w:val="normaltextrun"/>
          <w:rFonts w:ascii="Century Gothic" w:hAnsi="Century Gothic" w:cs="Segoe UI"/>
          <w:sz w:val="16"/>
          <w:szCs w:val="16"/>
          <w:lang w:val="es-PR"/>
        </w:rPr>
        <w:t xml:space="preserve">(Enviado por correo certificado, con acuse de recibo, </w:t>
      </w:r>
    </w:p>
    <w:p w14:paraId="1CE87A41" w14:textId="290E0A45" w:rsidR="00760362" w:rsidRPr="00BA0702" w:rsidRDefault="00EF3907" w:rsidP="00760362">
      <w:pPr>
        <w:pStyle w:val="Default"/>
        <w:jc w:val="right"/>
        <w:rPr>
          <w:rFonts w:ascii="Century Gothic" w:hAnsi="Century Gothic"/>
          <w:sz w:val="22"/>
          <w:szCs w:val="22"/>
          <w:lang w:val="es-419" w:bidi="en-US"/>
        </w:rPr>
      </w:pPr>
      <w:r w:rsidRPr="00EF3907">
        <w:rPr>
          <w:rStyle w:val="normaltextrun"/>
          <w:rFonts w:ascii="Century Gothic" w:hAnsi="Century Gothic" w:cs="Segoe UI"/>
          <w:sz w:val="16"/>
          <w:szCs w:val="16"/>
          <w:lang w:val="es-PR"/>
        </w:rPr>
        <w:t>o entregado personalmente)</w:t>
      </w:r>
    </w:p>
    <w:p w14:paraId="3CEAF445" w14:textId="1F5456B2" w:rsidR="0066668B" w:rsidRPr="00BA0702" w:rsidRDefault="0066668B" w:rsidP="00025458">
      <w:pPr>
        <w:pStyle w:val="Default"/>
        <w:spacing w:after="160" w:line="259" w:lineRule="auto"/>
        <w:contextualSpacing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>[</w:t>
      </w:r>
      <w:r w:rsidR="0029123C" w:rsidRPr="00025458">
        <w:rPr>
          <w:rFonts w:ascii="Century Gothic" w:hAnsi="Century Gothic"/>
          <w:sz w:val="22"/>
          <w:szCs w:val="22"/>
          <w:highlight w:val="lightGray"/>
          <w:lang w:val="es-419" w:bidi="en-US"/>
        </w:rPr>
        <w:t>Fecha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>]</w:t>
      </w:r>
    </w:p>
    <w:p w14:paraId="1C1D13BF" w14:textId="77777777" w:rsidR="008F3627" w:rsidRPr="00BA0702" w:rsidRDefault="008F3627" w:rsidP="00025458">
      <w:pPr>
        <w:pStyle w:val="Default"/>
        <w:spacing w:after="160" w:line="259" w:lineRule="auto"/>
        <w:contextualSpacing/>
        <w:rPr>
          <w:rFonts w:ascii="Century Gothic" w:hAnsi="Century Gothic"/>
          <w:sz w:val="22"/>
          <w:szCs w:val="22"/>
          <w:lang w:val="es-419" w:bidi="en-US"/>
        </w:rPr>
      </w:pPr>
    </w:p>
    <w:p w14:paraId="150694CF" w14:textId="77777777" w:rsidR="006741BA" w:rsidRPr="00BA0702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Número de identificación del caso URA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</w:p>
    <w:p w14:paraId="38877B1A" w14:textId="77777777" w:rsidR="006741BA" w:rsidRPr="00BA0702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Nombre Completo del Ocupante No Residencial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408A6D3C" w14:textId="6E06CC05" w:rsidR="006741BA" w:rsidRPr="00025458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 xml:space="preserve">Nombre de la </w:t>
      </w:r>
      <w:r w:rsidR="00557392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Empresa</w:t>
      </w:r>
      <w:r w:rsid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/G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ranja</w:t>
      </w:r>
      <w:r w:rsid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/O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rganizaci</w:t>
      </w:r>
      <w:r w:rsidR="008B4EF8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ó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n sin fines de lucro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]</w:t>
      </w:r>
    </w:p>
    <w:p w14:paraId="198D7A01" w14:textId="77777777" w:rsidR="006741BA" w:rsidRPr="00025458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Dirección postal del Ocupante No Residencial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638E3EB8" w14:textId="77777777" w:rsidR="006741BA" w:rsidRPr="00025458" w:rsidRDefault="006741BA" w:rsidP="00025458">
      <w:pPr>
        <w:pStyle w:val="paragraph"/>
        <w:spacing w:before="0" w:beforeAutospacing="0" w:after="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Ciudad, Estado, Código Postal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75968DAA" w14:textId="76E8978A" w:rsidR="0066668B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540A8DAE" w14:textId="77777777" w:rsidR="00F9513D" w:rsidRPr="00BA0702" w:rsidRDefault="00F9513D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455CEE57" w14:textId="77777777" w:rsidR="00A61F3B" w:rsidRDefault="0066668B">
      <w:pPr>
        <w:pStyle w:val="Default"/>
        <w:spacing w:after="160" w:line="259" w:lineRule="auto"/>
        <w:jc w:val="both"/>
        <w:rPr>
          <w:rFonts w:ascii="Century Gothic" w:hAnsi="Century Gothic"/>
          <w:b/>
          <w:bCs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Re: URA</w:t>
      </w:r>
      <w:r w:rsidR="002B650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  <w:r w:rsidR="00CA3C39" w:rsidRPr="00BA0702">
        <w:rPr>
          <w:rFonts w:ascii="Century Gothic" w:hAnsi="Century Gothic"/>
          <w:b/>
          <w:bCs/>
          <w:sz w:val="22"/>
          <w:szCs w:val="22"/>
          <w:lang w:val="es-419"/>
        </w:rPr>
        <w:t>Aviso de Informaci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>ó</w:t>
      </w:r>
      <w:r w:rsidR="00CA3C39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n General para </w:t>
      </w:r>
      <w:r w:rsidR="007542A6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los </w:t>
      </w:r>
      <w:r w:rsidR="00F260ED" w:rsidRPr="00BA0702">
        <w:rPr>
          <w:rFonts w:ascii="Century Gothic" w:hAnsi="Century Gothic"/>
          <w:b/>
          <w:bCs/>
          <w:sz w:val="22"/>
          <w:szCs w:val="22"/>
          <w:lang w:val="es-419"/>
        </w:rPr>
        <w:t>O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cupantes </w:t>
      </w:r>
      <w:r w:rsidR="00BF2BE7" w:rsidRPr="00BA0702">
        <w:rPr>
          <w:rFonts w:ascii="Century Gothic" w:hAnsi="Century Gothic"/>
          <w:b/>
          <w:bCs/>
          <w:sz w:val="22"/>
          <w:szCs w:val="22"/>
          <w:lang w:val="es-419"/>
        </w:rPr>
        <w:t>N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o </w:t>
      </w:r>
      <w:r w:rsidR="00BF2BE7" w:rsidRPr="00BA0702">
        <w:rPr>
          <w:rFonts w:ascii="Century Gothic" w:hAnsi="Century Gothic"/>
          <w:b/>
          <w:bCs/>
          <w:sz w:val="22"/>
          <w:szCs w:val="22"/>
          <w:lang w:val="es-419"/>
        </w:rPr>
        <w:t>R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>esidenciales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</w:p>
    <w:p w14:paraId="2BC5A4E0" w14:textId="6F23A424" w:rsidR="0066668B" w:rsidRDefault="0066668B">
      <w:pPr>
        <w:pStyle w:val="Default"/>
        <w:spacing w:after="160" w:line="259" w:lineRule="auto"/>
        <w:jc w:val="both"/>
        <w:rPr>
          <w:rFonts w:ascii="Century Gothic" w:hAnsi="Century Gothic"/>
          <w:b/>
          <w:bCs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</w:p>
    <w:p w14:paraId="0104CA74" w14:textId="31C3DF2D" w:rsidR="0066668B" w:rsidRPr="00BA0702" w:rsidRDefault="00BF2BE7" w:rsidP="00025458">
      <w:pPr>
        <w:pStyle w:val="BodyTex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Estimado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 [</w:t>
      </w:r>
      <w:r w:rsidR="00CE55A8" w:rsidRPr="00BA0702">
        <w:rPr>
          <w:rFonts w:ascii="Century Gothic" w:hAnsi="Century Gothic"/>
          <w:sz w:val="22"/>
          <w:szCs w:val="22"/>
          <w:highlight w:val="lightGray"/>
          <w:lang w:val="es-419"/>
        </w:rPr>
        <w:t>Nombre Completo del Ocupante No Residencial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>],</w:t>
      </w:r>
    </w:p>
    <w:p w14:paraId="38AA3913" w14:textId="7F9B719E" w:rsidR="002B2C18" w:rsidRPr="00BA0702" w:rsidRDefault="002B2C18" w:rsidP="00025458">
      <w:pPr>
        <w:pStyle w:val="BodyTex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El [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Subrecipiente/Nombre de la Agencia</w:t>
      </w:r>
      <w:r w:rsidRPr="00BA0702">
        <w:rPr>
          <w:rFonts w:ascii="Century Gothic" w:hAnsi="Century Gothic"/>
          <w:sz w:val="22"/>
          <w:szCs w:val="22"/>
          <w:lang w:val="es-419"/>
        </w:rPr>
        <w:t>]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F9513D" w:rsidRPr="009352BB">
        <w:rPr>
          <w:rFonts w:ascii="Century Gothic" w:hAnsi="Century Gothic"/>
          <w:sz w:val="22"/>
          <w:szCs w:val="22"/>
          <w:lang w:val="es-ES"/>
        </w:rPr>
        <w:t>a través del</w:t>
      </w:r>
      <w:r w:rsidR="00F9513D" w:rsidRPr="00BB2DA4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9513D">
        <w:rPr>
          <w:rFonts w:ascii="Century Gothic" w:hAnsi="Century Gothic"/>
          <w:sz w:val="22"/>
          <w:szCs w:val="22"/>
          <w:lang w:val="es-ES"/>
        </w:rPr>
        <w:t>[</w:t>
      </w:r>
      <w:r w:rsidR="00F9513D">
        <w:rPr>
          <w:rFonts w:ascii="Century Gothic" w:hAnsi="Century Gothic"/>
          <w:sz w:val="22"/>
          <w:szCs w:val="22"/>
          <w:highlight w:val="lightGray"/>
          <w:lang w:val="es-ES"/>
        </w:rPr>
        <w:t>Nombre del p</w:t>
      </w:r>
      <w:r w:rsidR="00F9513D" w:rsidRPr="009352BB">
        <w:rPr>
          <w:rFonts w:ascii="Century Gothic" w:hAnsi="Century Gothic"/>
          <w:sz w:val="22"/>
          <w:szCs w:val="22"/>
          <w:highlight w:val="lightGray"/>
          <w:lang w:val="es-ES"/>
        </w:rPr>
        <w:t>rograma CDBG-</w:t>
      </w:r>
      <w:r w:rsidR="00F9513D">
        <w:rPr>
          <w:rFonts w:ascii="Century Gothic" w:hAnsi="Century Gothic"/>
          <w:sz w:val="22"/>
          <w:szCs w:val="22"/>
          <w:highlight w:val="lightGray"/>
          <w:lang w:val="es-ES"/>
        </w:rPr>
        <w:t>DR/</w:t>
      </w:r>
      <w:r w:rsidR="00F9513D" w:rsidRPr="009352BB">
        <w:rPr>
          <w:rFonts w:ascii="Century Gothic" w:hAnsi="Century Gothic"/>
          <w:sz w:val="22"/>
          <w:szCs w:val="22"/>
          <w:highlight w:val="lightGray"/>
          <w:lang w:val="es-ES"/>
        </w:rPr>
        <w:t>MIT</w:t>
      </w:r>
      <w:r w:rsidR="00F9513D">
        <w:rPr>
          <w:rFonts w:ascii="Century Gothic" w:hAnsi="Century Gothic"/>
          <w:sz w:val="22"/>
          <w:szCs w:val="22"/>
          <w:lang w:val="es-ES"/>
        </w:rPr>
        <w:t xml:space="preserve">] (el </w:t>
      </w:r>
      <w:r w:rsidR="00F9513D" w:rsidRPr="009352BB">
        <w:rPr>
          <w:rFonts w:ascii="Century Gothic" w:hAnsi="Century Gothic"/>
          <w:b/>
          <w:sz w:val="22"/>
          <w:szCs w:val="22"/>
          <w:lang w:val="es-ES"/>
        </w:rPr>
        <w:t>“Programa”</w:t>
      </w:r>
      <w:r w:rsidR="00F9513D">
        <w:rPr>
          <w:rFonts w:ascii="Century Gothic" w:hAnsi="Century Gothic"/>
          <w:sz w:val="22"/>
          <w:szCs w:val="22"/>
          <w:lang w:val="es-ES"/>
        </w:rPr>
        <w:t>)</w:t>
      </w:r>
      <w:r w:rsidR="00E973E0">
        <w:rPr>
          <w:rFonts w:ascii="Century Gothic" w:hAnsi="Century Gothic"/>
          <w:sz w:val="22"/>
          <w:szCs w:val="22"/>
          <w:lang w:val="es-ES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está interesado en adquirir y/o rehabilitar la propiedad que usted ocupa actualmente en [</w:t>
      </w:r>
      <w:r w:rsidR="006F053E" w:rsidRPr="00BA0702">
        <w:rPr>
          <w:rFonts w:ascii="Century Gothic" w:hAnsi="Century Gothic"/>
          <w:sz w:val="22"/>
          <w:szCs w:val="22"/>
          <w:highlight w:val="lightGray"/>
          <w:lang w:val="es-419"/>
        </w:rPr>
        <w:t>D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 xml:space="preserve">irección del </w:t>
      </w:r>
      <w:r w:rsidR="00EF3907">
        <w:rPr>
          <w:rFonts w:ascii="Century Gothic" w:hAnsi="Century Gothic"/>
          <w:sz w:val="22"/>
          <w:szCs w:val="22"/>
          <w:highlight w:val="lightGray"/>
          <w:lang w:val="es-419"/>
        </w:rPr>
        <w:t>I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nmueble</w:t>
      </w:r>
      <w:r w:rsidRPr="00BA0702">
        <w:rPr>
          <w:rFonts w:ascii="Century Gothic" w:hAnsi="Century Gothic"/>
          <w:sz w:val="22"/>
          <w:szCs w:val="22"/>
          <w:lang w:val="es-419"/>
        </w:rPr>
        <w:t>]</w:t>
      </w:r>
      <w:r w:rsidR="00E973E0">
        <w:rPr>
          <w:rFonts w:ascii="Century Gothic" w:hAnsi="Century Gothic"/>
          <w:sz w:val="22"/>
          <w:szCs w:val="22"/>
          <w:lang w:val="es-419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un proyecto propuesto que </w:t>
      </w:r>
      <w:r w:rsidR="00F9513D" w:rsidRPr="00BA0702">
        <w:rPr>
          <w:rFonts w:ascii="Century Gothic" w:hAnsi="Century Gothic"/>
          <w:sz w:val="22"/>
          <w:szCs w:val="22"/>
          <w:lang w:val="es-419"/>
        </w:rPr>
        <w:t>p</w:t>
      </w:r>
      <w:r w:rsidR="00F9513D">
        <w:rPr>
          <w:rFonts w:ascii="Century Gothic" w:hAnsi="Century Gothic"/>
          <w:sz w:val="22"/>
          <w:szCs w:val="22"/>
          <w:lang w:val="es-419"/>
        </w:rPr>
        <w:t>odría</w:t>
      </w:r>
      <w:r w:rsidR="00F9513D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>recibir fondos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 federales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del </w:t>
      </w:r>
      <w:r w:rsidRPr="00BA0702">
        <w:rPr>
          <w:rFonts w:ascii="Century Gothic" w:hAnsi="Century Gothic"/>
          <w:sz w:val="22"/>
          <w:szCs w:val="22"/>
          <w:lang w:val="es-419"/>
        </w:rPr>
        <w:t>Departamento de Vivienda y Desarrollo Urbano de los Estados Unidos (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HUD</w:t>
      </w:r>
      <w:r w:rsidR="00000392" w:rsidRPr="00BA0702">
        <w:rPr>
          <w:rFonts w:ascii="Century Gothic" w:hAnsi="Century Gothic"/>
          <w:sz w:val="22"/>
          <w:szCs w:val="22"/>
          <w:lang w:val="es-419"/>
        </w:rPr>
        <w:t>, por sus siglas en inglés</w:t>
      </w:r>
      <w:r w:rsidRPr="00BA0702">
        <w:rPr>
          <w:rFonts w:ascii="Century Gothic" w:hAnsi="Century Gothic"/>
          <w:sz w:val="22"/>
          <w:szCs w:val="22"/>
          <w:lang w:val="es-419"/>
        </w:rPr>
        <w:t>) bajo el Programa de Subvención en Bloque para el Desarrollo de la Comunidad [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Recuperación de Desastres (</w:t>
      </w:r>
      <w:r w:rsidRPr="008B4EF8">
        <w:rPr>
          <w:rFonts w:ascii="Century Gothic" w:hAnsi="Century Gothic"/>
          <w:b/>
          <w:sz w:val="22"/>
          <w:szCs w:val="22"/>
          <w:highlight w:val="lightGray"/>
          <w:lang w:val="es-419"/>
        </w:rPr>
        <w:t>CDBG-DR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)/ Mitigación (</w:t>
      </w:r>
      <w:r w:rsidRPr="008B4EF8">
        <w:rPr>
          <w:rFonts w:ascii="Century Gothic" w:hAnsi="Century Gothic"/>
          <w:b/>
          <w:sz w:val="22"/>
          <w:szCs w:val="22"/>
          <w:highlight w:val="lightGray"/>
          <w:lang w:val="es-419"/>
        </w:rPr>
        <w:t>CDBG-MIT</w:t>
      </w:r>
      <w:r w:rsidRPr="00BA0702">
        <w:rPr>
          <w:rFonts w:ascii="Century Gothic" w:hAnsi="Century Gothic"/>
          <w:sz w:val="22"/>
          <w:szCs w:val="22"/>
          <w:lang w:val="es-419"/>
        </w:rPr>
        <w:t>)]. Los proyectos que reciben estos fondos federales están sujetos a l</w:t>
      </w:r>
      <w:r w:rsidR="00700332">
        <w:rPr>
          <w:rFonts w:ascii="Century Gothic" w:hAnsi="Century Gothic"/>
          <w:sz w:val="22"/>
          <w:szCs w:val="22"/>
          <w:lang w:val="es-419"/>
        </w:rPr>
        <w:t>os requisitos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 xml:space="preserve"> la Ley de Políticas Uniformes de Asistencia a la Reubicación y Adquisición de Bienes Inmuebles de 1970 (</w:t>
      </w:r>
      <w:r w:rsidR="009531D9" w:rsidRPr="00BA0702">
        <w:rPr>
          <w:rFonts w:ascii="Century Gothic" w:hAnsi="Century Gothic"/>
          <w:b/>
          <w:bCs/>
          <w:sz w:val="22"/>
          <w:szCs w:val="22"/>
          <w:lang w:val="es-PR"/>
        </w:rPr>
        <w:t>URA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 xml:space="preserve">, por sus siglas en inglés), según enmendada, 42 U.S.C. § 4601 </w:t>
      </w:r>
      <w:r w:rsidR="009531D9" w:rsidRPr="00BA0702">
        <w:rPr>
          <w:rFonts w:ascii="Century Gothic" w:hAnsi="Century Gothic"/>
          <w:i/>
          <w:iCs/>
          <w:sz w:val="22"/>
          <w:szCs w:val="22"/>
          <w:lang w:val="es-PR"/>
        </w:rPr>
        <w:t xml:space="preserve">et </w:t>
      </w:r>
      <w:proofErr w:type="spellStart"/>
      <w:r w:rsidR="009531D9" w:rsidRPr="00BA0702">
        <w:rPr>
          <w:rFonts w:ascii="Century Gothic" w:hAnsi="Century Gothic"/>
          <w:i/>
          <w:iCs/>
          <w:sz w:val="22"/>
          <w:szCs w:val="22"/>
          <w:lang w:val="es-PR"/>
        </w:rPr>
        <w:t>seq</w:t>
      </w:r>
      <w:proofErr w:type="spellEnd"/>
      <w:r w:rsidR="009531D9" w:rsidRPr="00BA0702">
        <w:rPr>
          <w:rFonts w:ascii="Century Gothic" w:hAnsi="Century Gothic"/>
          <w:sz w:val="22"/>
          <w:szCs w:val="22"/>
          <w:lang w:val="es-PR"/>
        </w:rPr>
        <w:t>., y la Sección 104(d) de la Ley de Vivienda y Desarrollo Comunitario de 1974 (</w:t>
      </w:r>
      <w:r w:rsidR="009531D9" w:rsidRPr="00BA0702">
        <w:rPr>
          <w:rFonts w:ascii="Century Gothic" w:hAnsi="Century Gothic"/>
          <w:b/>
          <w:bCs/>
          <w:sz w:val="22"/>
          <w:szCs w:val="22"/>
          <w:lang w:val="es-PR"/>
        </w:rPr>
        <w:t>HCDA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>, por sus siglas en ingles), según enmendada, 42 U.S.C. § 5304(d).</w:t>
      </w:r>
    </w:p>
    <w:p w14:paraId="64584D59" w14:textId="1935D7E2" w:rsidR="00812262" w:rsidRPr="00BA0702" w:rsidRDefault="00812262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propósito de este aviso es informarle que su negocio, organización sin fines de lucro o finca (todos ellos </w:t>
      </w:r>
      <w:r w:rsidR="00F05147" w:rsidRPr="00BA0702">
        <w:rPr>
          <w:rFonts w:ascii="Century Gothic" w:hAnsi="Century Gothic"/>
          <w:sz w:val="22"/>
          <w:szCs w:val="22"/>
          <w:lang w:val="es-419"/>
        </w:rPr>
        <w:t>referidos como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"persona") </w:t>
      </w:r>
      <w:r w:rsidR="006A55A7" w:rsidRPr="00BA070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s-419"/>
        </w:rPr>
        <w:t>pudiera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ser desplazada como resultado del proyecto propuesto. Este aviso también </w:t>
      </w:r>
      <w:r w:rsidR="00E973E0">
        <w:rPr>
          <w:rFonts w:ascii="Century Gothic" w:hAnsi="Century Gothic"/>
          <w:sz w:val="22"/>
          <w:szCs w:val="22"/>
          <w:lang w:val="es-419"/>
        </w:rPr>
        <w:t xml:space="preserve">le </w:t>
      </w:r>
      <w:r w:rsidRPr="00BA0702">
        <w:rPr>
          <w:rFonts w:ascii="Century Gothic" w:hAnsi="Century Gothic"/>
          <w:sz w:val="22"/>
          <w:szCs w:val="22"/>
          <w:lang w:val="es-419"/>
        </w:rPr>
        <w:t>informa</w:t>
      </w:r>
      <w:r w:rsidR="00700332">
        <w:rPr>
          <w:rFonts w:ascii="Century Gothic" w:hAnsi="Century Gothic"/>
          <w:sz w:val="22"/>
          <w:szCs w:val="22"/>
          <w:lang w:val="es-419"/>
        </w:rPr>
        <w:t xml:space="preserve"> sobre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sus derechos y protecciones como persona desplazada en virtud de la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 Ley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URA. Usted puede ser elegible para recibir asistencia y pagos de reubicación bajo</w:t>
      </w:r>
      <w:r w:rsidR="00700332">
        <w:rPr>
          <w:rFonts w:ascii="Century Gothic" w:hAnsi="Century Gothic"/>
          <w:sz w:val="22"/>
          <w:szCs w:val="22"/>
          <w:lang w:val="es-419"/>
        </w:rPr>
        <w:t xml:space="preserve"> la Ley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URA si el proyecto propuesto recibe asistencia de HUD y si usted es considerado elegible y desplazado </w:t>
      </w:r>
      <w:r w:rsidR="00E973E0">
        <w:rPr>
          <w:rFonts w:ascii="Century Gothic" w:hAnsi="Century Gothic"/>
          <w:sz w:val="22"/>
          <w:szCs w:val="22"/>
          <w:lang w:val="es-419"/>
        </w:rPr>
        <w:t>debido 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la adquisición, rehabilitación o demolición </w:t>
      </w:r>
      <w:r w:rsidR="00E973E0">
        <w:rPr>
          <w:rFonts w:ascii="Century Gothic" w:hAnsi="Century Gothic"/>
          <w:sz w:val="22"/>
          <w:szCs w:val="22"/>
          <w:lang w:val="es-419"/>
        </w:rPr>
        <w:t>d</w:t>
      </w:r>
      <w:r w:rsidRPr="00BA0702">
        <w:rPr>
          <w:rFonts w:ascii="Century Gothic" w:hAnsi="Century Gothic"/>
          <w:sz w:val="22"/>
          <w:szCs w:val="22"/>
          <w:lang w:val="es-419"/>
        </w:rPr>
        <w:t>el proyecto.</w:t>
      </w:r>
    </w:p>
    <w:p w14:paraId="2056DE67" w14:textId="7F91CF1A" w:rsidR="0066668B" w:rsidRPr="004F5D9B" w:rsidRDefault="00A04A67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b/>
          <w:sz w:val="22"/>
          <w:szCs w:val="22"/>
          <w:u w:val="single"/>
          <w:lang w:val="es-419"/>
        </w:rPr>
      </w:pPr>
      <w:r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Este no es un aviso 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para desalojar </w:t>
      </w:r>
      <w:r w:rsidR="00D92916">
        <w:rPr>
          <w:rFonts w:ascii="Century Gothic" w:hAnsi="Century Gothic"/>
          <w:b/>
          <w:sz w:val="22"/>
          <w:szCs w:val="22"/>
          <w:u w:val="single"/>
          <w:lang w:val="es-419"/>
        </w:rPr>
        <w:t>el establecimiento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. </w:t>
      </w:r>
      <w:r w:rsidR="00F9513D" w:rsidRPr="008B4EF8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 xml:space="preserve">Aún no debe mudarse de la </w:t>
      </w:r>
      <w:r w:rsidR="00FC1A87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>propiedad</w:t>
      </w:r>
      <w:r w:rsidR="00F9513D" w:rsidRPr="008B4EF8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 xml:space="preserve"> como resultado de este aviso.</w:t>
      </w:r>
      <w:r w:rsidR="00F9513D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 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>Este aviso</w:t>
      </w:r>
      <w:r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 no establece su elegibilidad para los pagos de reubicación o asistencia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>.</w:t>
      </w:r>
    </w:p>
    <w:p w14:paraId="4B64BF07" w14:textId="29214329" w:rsidR="00FB35B2" w:rsidRPr="00BA0702" w:rsidRDefault="00F9513D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Cs/>
          <w:sz w:val="22"/>
          <w:szCs w:val="22"/>
          <w:lang w:val="es-419"/>
        </w:rPr>
        <w:t xml:space="preserve">Luego </w:t>
      </w:r>
      <w:r>
        <w:rPr>
          <w:rFonts w:ascii="Century Gothic" w:hAnsi="Century Gothic"/>
          <w:bCs/>
          <w:sz w:val="22"/>
          <w:szCs w:val="22"/>
          <w:lang w:val="es-419"/>
        </w:rPr>
        <w:t xml:space="preserve">que se determine que usted es elegible y </w:t>
      </w:r>
      <w:r w:rsidR="0067288C">
        <w:rPr>
          <w:rFonts w:ascii="Century Gothic" w:hAnsi="Century Gothic"/>
          <w:bCs/>
          <w:sz w:val="22"/>
          <w:szCs w:val="22"/>
          <w:lang w:val="es-419"/>
        </w:rPr>
        <w:t>que debe mudarse</w:t>
      </w:r>
      <w:r>
        <w:rPr>
          <w:rFonts w:ascii="Century Gothic" w:hAnsi="Century Gothic"/>
          <w:bCs/>
          <w:sz w:val="22"/>
          <w:szCs w:val="22"/>
          <w:lang w:val="es-419"/>
        </w:rPr>
        <w:t xml:space="preserve"> </w:t>
      </w:r>
      <w:r w:rsidR="003E5083" w:rsidRPr="00BA0702">
        <w:rPr>
          <w:rFonts w:ascii="Century Gothic" w:hAnsi="Century Gothic"/>
          <w:sz w:val="22"/>
          <w:szCs w:val="22"/>
          <w:lang w:val="es-419"/>
        </w:rPr>
        <w:t xml:space="preserve">de su propiedad actual, recibirá </w:t>
      </w:r>
      <w:r w:rsidR="0067288C">
        <w:rPr>
          <w:rFonts w:ascii="Century Gothic" w:hAnsi="Century Gothic"/>
          <w:sz w:val="22"/>
          <w:szCs w:val="22"/>
          <w:lang w:val="es-419"/>
        </w:rPr>
        <w:t>otra</w:t>
      </w:r>
      <w:r w:rsidR="003E5083" w:rsidRPr="00BA0702">
        <w:rPr>
          <w:rFonts w:ascii="Century Gothic" w:hAnsi="Century Gothic"/>
          <w:sz w:val="22"/>
          <w:szCs w:val="22"/>
          <w:lang w:val="es-419"/>
        </w:rPr>
        <w:t xml:space="preserve"> notificación por escrito del Programa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. Dicha notificación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le informará 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si usted será desplazado de la propiedad y  la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determinación de elegibilidad </w:t>
      </w:r>
      <w:r w:rsidR="008D25A1">
        <w:rPr>
          <w:rFonts w:ascii="Century Gothic" w:hAnsi="Century Gothic"/>
          <w:sz w:val="22"/>
          <w:szCs w:val="22"/>
          <w:lang w:val="es-419"/>
        </w:rPr>
        <w:lastRenderedPageBreak/>
        <w:t>para recibir asistencia bajo la Ley URA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0C305909" w14:textId="369BAC0B" w:rsidR="0066668B" w:rsidRPr="00BA0702" w:rsidRDefault="00654108" w:rsidP="00025458">
      <w:pPr>
        <w:pStyle w:val="Defaul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>Los requisitos generales de elegibilidad para los beneficios de reubicación URA incluyen, pero no se limitan a:</w:t>
      </w:r>
    </w:p>
    <w:p w14:paraId="35D46531" w14:textId="7C1A3E34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 w:bidi="en-US"/>
        </w:rPr>
        <w:t>C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>umplir</w:t>
      </w:r>
      <w:r>
        <w:rPr>
          <w:rFonts w:ascii="Century Gothic" w:hAnsi="Century Gothic"/>
          <w:sz w:val="22"/>
          <w:szCs w:val="22"/>
          <w:lang w:val="es-419" w:bidi="en-US"/>
        </w:rPr>
        <w:t xml:space="preserve"> con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 xml:space="preserve"> la definición de “persona desplazada” de la </w:t>
      </w:r>
      <w:r w:rsidR="00B052AD" w:rsidRPr="00BA0702">
        <w:rPr>
          <w:rFonts w:ascii="Century Gothic" w:hAnsi="Century Gothic"/>
          <w:sz w:val="22"/>
          <w:szCs w:val="22"/>
          <w:lang w:val="es-419" w:bidi="en-US"/>
        </w:rPr>
        <w:t xml:space="preserve">ley 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>URA</w:t>
      </w:r>
      <w:r w:rsidR="0066668B" w:rsidRPr="00BA0702">
        <w:rPr>
          <w:rFonts w:ascii="Century Gothic" w:hAnsi="Century Gothic"/>
          <w:sz w:val="22"/>
          <w:szCs w:val="22"/>
          <w:lang w:val="es-419" w:bidi="en-US"/>
        </w:rPr>
        <w:t>.</w:t>
      </w:r>
      <w:r w:rsidR="0066668B" w:rsidRPr="00BA0702">
        <w:rPr>
          <w:rStyle w:val="FootnoteReference"/>
          <w:rFonts w:ascii="Century Gothic" w:hAnsi="Century Gothic"/>
          <w:sz w:val="22"/>
          <w:szCs w:val="22"/>
          <w:lang w:bidi="en-US"/>
        </w:rPr>
        <w:footnoteReference w:id="1"/>
      </w:r>
    </w:p>
    <w:p w14:paraId="303AE81C" w14:textId="14157068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No ser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 la(s) persona(s) o entidad(</w:t>
      </w:r>
      <w:r w:rsidR="00032B17" w:rsidRPr="00BA0702">
        <w:rPr>
          <w:rFonts w:ascii="Century Gothic" w:hAnsi="Century Gothic"/>
          <w:sz w:val="22"/>
          <w:szCs w:val="22"/>
          <w:lang w:val="es-419"/>
        </w:rPr>
        <w:t>e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>s) responsable(s) de</w:t>
      </w:r>
      <w:r w:rsidR="00DF4796">
        <w:rPr>
          <w:rFonts w:ascii="Century Gothic" w:hAnsi="Century Gothic"/>
          <w:sz w:val="22"/>
          <w:szCs w:val="22"/>
          <w:lang w:val="es-419"/>
        </w:rPr>
        <w:t xml:space="preserve"> someter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 la solicitud al</w:t>
      </w:r>
      <w:r w:rsidR="00DF4796">
        <w:rPr>
          <w:rFonts w:ascii="Century Gothic" w:hAnsi="Century Gothic"/>
          <w:sz w:val="22"/>
          <w:szCs w:val="22"/>
          <w:lang w:val="es-419"/>
        </w:rPr>
        <w:t xml:space="preserve"> Programa que genera los requisitos de la Ley URA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</w:p>
    <w:p w14:paraId="5EE755CF" w14:textId="30667D78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E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>star ocupando activamente una unidad no residencial dentro de una propiedad que reciba a</w:t>
      </w:r>
      <w:r w:rsidR="00700332">
        <w:rPr>
          <w:rFonts w:ascii="Century Gothic" w:hAnsi="Century Gothic"/>
          <w:sz w:val="22"/>
          <w:szCs w:val="22"/>
          <w:lang w:val="es-419"/>
        </w:rPr>
        <w:t>sistencia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8D25A1">
        <w:rPr>
          <w:rFonts w:ascii="Century Gothic" w:hAnsi="Century Gothic"/>
          <w:sz w:val="22"/>
          <w:szCs w:val="22"/>
          <w:lang w:val="es-419"/>
        </w:rPr>
        <w:t>l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8D25A1">
        <w:rPr>
          <w:rFonts w:ascii="Century Gothic" w:hAnsi="Century Gothic"/>
          <w:sz w:val="22"/>
          <w:szCs w:val="22"/>
          <w:lang w:val="es-419"/>
        </w:rPr>
        <w:t>Programa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en el momento en que se programe el inicio de las actividades de adquisición, </w:t>
      </w:r>
      <w:r>
        <w:rPr>
          <w:rFonts w:ascii="Century Gothic" w:hAnsi="Century Gothic"/>
          <w:sz w:val="22"/>
          <w:szCs w:val="22"/>
          <w:lang w:val="es-419"/>
        </w:rPr>
        <w:t>rehabilitación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o reconstrucción financiadas. </w:t>
      </w:r>
    </w:p>
    <w:p w14:paraId="6BD3C5A8" w14:textId="78B07FEC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E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star obligado a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reubicarse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l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 lugar del proyecto para completar las actividades del </w:t>
      </w:r>
      <w:r>
        <w:rPr>
          <w:rFonts w:ascii="Century Gothic" w:hAnsi="Century Gothic"/>
          <w:sz w:val="22"/>
          <w:szCs w:val="22"/>
          <w:lang w:val="es-419"/>
        </w:rPr>
        <w:t>Programa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3652A79B" w14:textId="453ED236" w:rsidR="0066668B" w:rsidRPr="00BA0702" w:rsidRDefault="00DF178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Debe ocupar legalmente la propiedad conforme a un acuerdo escrito o según lo dispuesto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 por ley.</w:t>
      </w:r>
    </w:p>
    <w:p w14:paraId="1BF4BC9A" w14:textId="56632779" w:rsidR="0066668B" w:rsidRPr="00BA0702" w:rsidRDefault="001029D3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Si la empresa, finca u organización sin </w:t>
      </w:r>
      <w:r w:rsidR="00D11472" w:rsidRPr="00BA0702">
        <w:rPr>
          <w:rFonts w:ascii="Century Gothic" w:hAnsi="Century Gothic"/>
          <w:sz w:val="22"/>
          <w:szCs w:val="22"/>
          <w:lang w:val="es-419" w:bidi="en-US"/>
        </w:rPr>
        <w:t>fines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de lucro desplazada no está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incorporada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, cada propietario debe ser un ciudadano estadounidense o un extranjero cualificado que esté ocupando la unidad no residencial que se va a adquirir, rehabilitar o demoler. De acuerdo con la Ley Pública 105-117, los extranjeros que no se encuentren legalmente en los Estados Unidos no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son elegibles para recibir</w:t>
      </w:r>
      <w:r w:rsidR="0095023C" w:rsidRPr="00BA0702">
        <w:rPr>
          <w:rFonts w:ascii="Century Gothic" w:hAnsi="Century Gothic"/>
          <w:sz w:val="22"/>
          <w:szCs w:val="22"/>
          <w:lang w:val="es-419" w:bidi="en-US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la </w:t>
      </w:r>
      <w:r w:rsidR="0095023C" w:rsidRPr="00BA0702">
        <w:rPr>
          <w:rFonts w:ascii="Century Gothic" w:hAnsi="Century Gothic"/>
          <w:sz w:val="22"/>
          <w:szCs w:val="22"/>
          <w:lang w:val="es-419" w:bidi="en-US"/>
        </w:rPr>
        <w:t>asistencia de reubicación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, a menos que dicha inelegibilidad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resulte en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una dificultad excepcional para un cónyuge, padre o hijo que reúna los requisitos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 xml:space="preserve"> de elegibilidad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>.</w:t>
      </w:r>
      <w:r w:rsidR="009140FE" w:rsidRPr="00BA0702">
        <w:rPr>
          <w:rStyle w:val="FootnoteReference"/>
          <w:rFonts w:ascii="Century Gothic" w:hAnsi="Century Gothic"/>
          <w:sz w:val="22"/>
          <w:szCs w:val="22"/>
          <w:lang w:val="es-419" w:bidi="en-US"/>
        </w:rPr>
        <w:footnoteReference w:id="2"/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Todas las personas que soliciten asistencia para la reubicación deberán certificar que son ciudadanos o nacionales de los Estados Unidos, o que son extranjeros que se encuentran legalmente en los Estados Unidos</w:t>
      </w:r>
      <w:r w:rsidR="0066668B" w:rsidRPr="00BA0702">
        <w:rPr>
          <w:rFonts w:ascii="Century Gothic" w:hAnsi="Century Gothic"/>
          <w:bCs/>
          <w:sz w:val="22"/>
          <w:szCs w:val="22"/>
          <w:lang w:val="es-419"/>
        </w:rPr>
        <w:t>.</w:t>
      </w:r>
    </w:p>
    <w:p w14:paraId="16F42AE0" w14:textId="3366A2D6" w:rsidR="0066668B" w:rsidRPr="00BA0702" w:rsidRDefault="00CA1F49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Si la empresa, finca u organización sin fines de lucro desplazada está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>incorporada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,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ésta 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debe estar autorizada para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hacer negocios </w:t>
      </w:r>
      <w:r w:rsidR="00EF7E87" w:rsidRPr="000963F0">
        <w:rPr>
          <w:rFonts w:ascii="Century Gothic" w:hAnsi="Century Gothic"/>
          <w:bCs/>
          <w:sz w:val="22"/>
          <w:szCs w:val="22"/>
          <w:lang w:val="es-419"/>
        </w:rPr>
        <w:t xml:space="preserve">en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los 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>Estados Unidos</w:t>
      </w:r>
      <w:r w:rsidR="005128DD">
        <w:rPr>
          <w:rFonts w:ascii="Century Gothic" w:hAnsi="Century Gothic"/>
          <w:bCs/>
          <w:sz w:val="22"/>
          <w:szCs w:val="22"/>
          <w:lang w:val="es-419"/>
        </w:rPr>
        <w:t xml:space="preserve"> y sus territorios, incluyendo Puerto Rico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>.</w:t>
      </w:r>
    </w:p>
    <w:p w14:paraId="7B7A0072" w14:textId="792BA70F" w:rsidR="0066668B" w:rsidRPr="00BA0702" w:rsidRDefault="00A44B5C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Si es necesari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12250F" w:rsidRPr="00BA0702">
        <w:rPr>
          <w:rFonts w:ascii="Century Gothic" w:hAnsi="Century Gothic"/>
          <w:sz w:val="22"/>
          <w:szCs w:val="22"/>
          <w:lang w:val="es-419"/>
        </w:rPr>
        <w:t>la reubicación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y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Pr="00BA0702">
        <w:rPr>
          <w:rFonts w:ascii="Century Gothic" w:hAnsi="Century Gothic"/>
          <w:sz w:val="22"/>
          <w:szCs w:val="22"/>
          <w:lang w:val="es-419"/>
        </w:rPr>
        <w:t>se determina que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usted es elegible para recibir asistencia de reubicación, usted </w:t>
      </w:r>
      <w:r w:rsidR="007D054D">
        <w:rPr>
          <w:rFonts w:ascii="Century Gothic" w:hAnsi="Century Gothic"/>
          <w:sz w:val="22"/>
          <w:szCs w:val="22"/>
          <w:lang w:val="es-419"/>
        </w:rPr>
        <w:t xml:space="preserve">podría 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recibir pagos por los siguientes gastos:</w:t>
      </w:r>
    </w:p>
    <w:p w14:paraId="6F8FF070" w14:textId="7A7E50EB" w:rsidR="0066668B" w:rsidRPr="00BA0702" w:rsidRDefault="00AA51CF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Gastos de mudanza</w:t>
      </w:r>
      <w:r w:rsidR="00155B0F" w:rsidRPr="00BA0702">
        <w:rPr>
          <w:rFonts w:ascii="Century Gothic" w:hAnsi="Century Gothic"/>
          <w:sz w:val="22"/>
          <w:szCs w:val="22"/>
          <w:lang w:val="es-419"/>
        </w:rPr>
        <w:t xml:space="preserve"> y gastos</w:t>
      </w:r>
      <w:r w:rsidR="001B465C" w:rsidRPr="00BA0702">
        <w:rPr>
          <w:rFonts w:ascii="Century Gothic" w:hAnsi="Century Gothic"/>
          <w:sz w:val="22"/>
          <w:szCs w:val="22"/>
          <w:lang w:val="es-419"/>
        </w:rPr>
        <w:t xml:space="preserve"> relacionados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="00155B0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0007ED94" w14:textId="5AF34FF7" w:rsidR="0066668B" w:rsidRPr="00BA0702" w:rsidRDefault="001B465C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Gastos de restablecimiento de la empresa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4B320807" w14:textId="4D220CD3" w:rsidR="0066668B" w:rsidRPr="00BA0702" w:rsidRDefault="009C0A75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Gastos relacionados con la pérdida </w:t>
      </w:r>
      <w:r w:rsidR="00274007" w:rsidRPr="00BA0702">
        <w:rPr>
          <w:rFonts w:ascii="Century Gothic" w:hAnsi="Century Gothic"/>
          <w:sz w:val="22"/>
          <w:szCs w:val="22"/>
          <w:lang w:val="es-419"/>
        </w:rPr>
        <w:t>o sustitución de bienes personales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="00D9727F">
        <w:rPr>
          <w:rFonts w:ascii="Century Gothic" w:hAnsi="Century Gothic"/>
          <w:sz w:val="22"/>
          <w:szCs w:val="22"/>
          <w:lang w:val="es-419"/>
        </w:rPr>
        <w:t xml:space="preserve"> y</w:t>
      </w:r>
    </w:p>
    <w:p w14:paraId="596AD666" w14:textId="6DA7BC99" w:rsidR="0066668B" w:rsidRDefault="00274007" w:rsidP="008D25A1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Otros gastos relacionados con las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conexiones y/o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A47384" w:rsidRPr="00BA0702">
        <w:rPr>
          <w:rFonts w:ascii="Century Gothic" w:hAnsi="Century Gothic"/>
          <w:sz w:val="22"/>
          <w:szCs w:val="22"/>
          <w:lang w:val="es-419"/>
        </w:rPr>
        <w:t xml:space="preserve">instalaciones </w:t>
      </w:r>
      <w:r w:rsidRPr="00BA0702">
        <w:rPr>
          <w:rFonts w:ascii="Century Gothic" w:hAnsi="Century Gothic"/>
          <w:sz w:val="22"/>
          <w:szCs w:val="22"/>
          <w:lang w:val="es-419"/>
        </w:rPr>
        <w:t>de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servicios </w:t>
      </w:r>
      <w:r w:rsidR="00557392">
        <w:rPr>
          <w:rFonts w:ascii="Century Gothic" w:hAnsi="Century Gothic"/>
          <w:sz w:val="22"/>
          <w:szCs w:val="22"/>
          <w:lang w:val="es-419"/>
        </w:rPr>
        <w:t>bási</w:t>
      </w:r>
      <w:r w:rsidR="008D25A1">
        <w:rPr>
          <w:rFonts w:ascii="Century Gothic" w:hAnsi="Century Gothic"/>
          <w:sz w:val="22"/>
          <w:szCs w:val="22"/>
          <w:lang w:val="es-419"/>
        </w:rPr>
        <w:t>cos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B76069" w:rsidRPr="00BA0702">
        <w:rPr>
          <w:rFonts w:ascii="Century Gothic" w:hAnsi="Century Gothic"/>
          <w:sz w:val="22"/>
          <w:szCs w:val="22"/>
          <w:lang w:val="es-419"/>
        </w:rPr>
        <w:t>ta</w:t>
      </w:r>
      <w:r w:rsidR="002A1CD8" w:rsidRPr="00BA0702">
        <w:rPr>
          <w:rFonts w:ascii="Century Gothic" w:hAnsi="Century Gothic"/>
          <w:sz w:val="22"/>
          <w:szCs w:val="22"/>
          <w:lang w:val="es-419"/>
        </w:rPr>
        <w:t>rifas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D9727F">
        <w:rPr>
          <w:rFonts w:ascii="Century Gothic" w:hAnsi="Century Gothic"/>
          <w:sz w:val="22"/>
          <w:szCs w:val="22"/>
          <w:lang w:val="es-419"/>
        </w:rPr>
        <w:t>que se cobran una sola vez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y </w:t>
      </w:r>
      <w:r w:rsidR="007F680F" w:rsidRPr="00BA0702">
        <w:rPr>
          <w:rFonts w:ascii="Century Gothic" w:hAnsi="Century Gothic"/>
          <w:sz w:val="22"/>
          <w:szCs w:val="22"/>
          <w:lang w:val="es-419"/>
        </w:rPr>
        <w:t>ciertos</w:t>
      </w:r>
      <w:r w:rsidR="005C0EA9" w:rsidRPr="00BA0702">
        <w:rPr>
          <w:rFonts w:ascii="Century Gothic" w:hAnsi="Century Gothic"/>
          <w:sz w:val="22"/>
          <w:szCs w:val="22"/>
          <w:lang w:val="es-419"/>
        </w:rPr>
        <w:t xml:space="preserve"> servicios profesionales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34E69580" w14:textId="77777777" w:rsidR="00CE70D6" w:rsidRDefault="00CE70D6" w:rsidP="008B4EF8">
      <w:pPr>
        <w:pStyle w:val="BodyText"/>
        <w:spacing w:line="259" w:lineRule="auto"/>
        <w:ind w:left="720" w:right="202"/>
        <w:jc w:val="both"/>
        <w:rPr>
          <w:rFonts w:ascii="Century Gothic" w:hAnsi="Century Gothic"/>
          <w:sz w:val="22"/>
          <w:szCs w:val="22"/>
          <w:lang w:val="es-419"/>
        </w:rPr>
      </w:pPr>
    </w:p>
    <w:p w14:paraId="63A65C95" w14:textId="262169F6" w:rsidR="0066668B" w:rsidRPr="00BA0702" w:rsidRDefault="008E4BF4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Programa también </w:t>
      </w:r>
      <w:r w:rsidR="00D9727F" w:rsidRPr="00BA0702">
        <w:rPr>
          <w:rFonts w:ascii="Century Gothic" w:hAnsi="Century Gothic"/>
          <w:sz w:val="22"/>
          <w:szCs w:val="22"/>
          <w:lang w:val="es-419"/>
        </w:rPr>
        <w:t>proveerá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asesoramiento 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sobre la asistencia de reubicación que incluye</w:t>
      </w:r>
      <w:r w:rsidR="00A61F3B">
        <w:rPr>
          <w:rFonts w:ascii="Century Gothic" w:hAnsi="Century Gothic"/>
          <w:sz w:val="22"/>
          <w:szCs w:val="22"/>
          <w:lang w:val="es-419"/>
        </w:rPr>
        <w:t>,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sin limitarse a</w:t>
      </w:r>
      <w:r w:rsidR="00A61F3B">
        <w:rPr>
          <w:rFonts w:ascii="Century Gothic" w:hAnsi="Century Gothic"/>
          <w:sz w:val="22"/>
          <w:szCs w:val="22"/>
          <w:lang w:val="es-419"/>
        </w:rPr>
        <w:t>,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>refe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ridos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a propiedades de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reemplazo</w:t>
      </w:r>
      <w:r w:rsidRPr="00BA0702">
        <w:rPr>
          <w:rFonts w:ascii="Century Gothic" w:hAnsi="Century Gothic"/>
          <w:sz w:val="22"/>
          <w:szCs w:val="22"/>
          <w:lang w:val="es-419"/>
        </w:rPr>
        <w:t>, ayuda para presentar reclamaciones de pago y seguir los procedimientos para obtener el</w:t>
      </w:r>
      <w:r w:rsidR="001526CA">
        <w:rPr>
          <w:rFonts w:ascii="Century Gothic" w:hAnsi="Century Gothic"/>
          <w:sz w:val="22"/>
          <w:szCs w:val="22"/>
          <w:lang w:val="es-419"/>
        </w:rPr>
        <w:t>(</w:t>
      </w:r>
      <w:r w:rsidRPr="00BA0702">
        <w:rPr>
          <w:rFonts w:ascii="Century Gothic" w:hAnsi="Century Gothic"/>
          <w:sz w:val="22"/>
          <w:szCs w:val="22"/>
          <w:lang w:val="es-419"/>
        </w:rPr>
        <w:t>los</w:t>
      </w:r>
      <w:r w:rsidR="001526CA">
        <w:rPr>
          <w:rFonts w:ascii="Century Gothic" w:hAnsi="Century Gothic"/>
          <w:sz w:val="22"/>
          <w:szCs w:val="22"/>
          <w:lang w:val="es-419"/>
        </w:rPr>
        <w:t>)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pago(s), </w:t>
      </w:r>
      <w:r w:rsidR="00444505">
        <w:rPr>
          <w:rFonts w:ascii="Century Gothic" w:hAnsi="Century Gothic"/>
          <w:sz w:val="22"/>
          <w:szCs w:val="22"/>
          <w:lang w:val="es-419"/>
        </w:rPr>
        <w:t xml:space="preserve">así como </w:t>
      </w:r>
      <w:r w:rsidRPr="00BA0702">
        <w:rPr>
          <w:rFonts w:ascii="Century Gothic" w:hAnsi="Century Gothic"/>
          <w:sz w:val="22"/>
          <w:szCs w:val="22"/>
          <w:lang w:val="es-419"/>
        </w:rPr>
        <w:t>otra</w:t>
      </w:r>
      <w:r w:rsidR="00237C4F">
        <w:rPr>
          <w:rFonts w:ascii="Century Gothic" w:hAnsi="Century Gothic"/>
          <w:sz w:val="22"/>
          <w:szCs w:val="22"/>
          <w:lang w:val="es-419"/>
        </w:rPr>
        <w:t>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237C4F">
        <w:rPr>
          <w:rFonts w:ascii="Century Gothic" w:hAnsi="Century Gothic"/>
          <w:sz w:val="22"/>
          <w:szCs w:val="22"/>
          <w:lang w:val="es-419"/>
        </w:rPr>
        <w:t xml:space="preserve">ayudas </w:t>
      </w:r>
      <w:r w:rsidRPr="00BA0702">
        <w:rPr>
          <w:rFonts w:ascii="Century Gothic" w:hAnsi="Century Gothic"/>
          <w:sz w:val="22"/>
          <w:szCs w:val="22"/>
          <w:lang w:val="es-419"/>
        </w:rPr>
        <w:t>necesaria</w:t>
      </w:r>
      <w:r w:rsidR="00237C4F">
        <w:rPr>
          <w:rFonts w:ascii="Century Gothic" w:hAnsi="Century Gothic"/>
          <w:sz w:val="22"/>
          <w:szCs w:val="22"/>
          <w:lang w:val="es-419"/>
        </w:rPr>
        <w:t>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reubicarle con éxito.</w:t>
      </w:r>
    </w:p>
    <w:p w14:paraId="645103D5" w14:textId="39D1A1B6" w:rsidR="0066668B" w:rsidRPr="00BA0702" w:rsidRDefault="00854ABF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No se le exigirá que se </w:t>
      </w:r>
      <w:r w:rsidR="00F72BBD" w:rsidRPr="00BA0702">
        <w:rPr>
          <w:rFonts w:ascii="Century Gothic" w:hAnsi="Century Gothic"/>
          <w:sz w:val="22"/>
          <w:szCs w:val="22"/>
          <w:lang w:val="es-419"/>
        </w:rPr>
        <w:t>reubique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u w:val="single"/>
          <w:lang w:val="es-419"/>
        </w:rPr>
        <w:t>permanentemente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sin un aviso previo por escrito </w:t>
      </w:r>
      <w:r w:rsidR="00237C4F">
        <w:rPr>
          <w:rFonts w:ascii="Century Gothic" w:hAnsi="Century Gothic"/>
          <w:sz w:val="22"/>
          <w:szCs w:val="22"/>
          <w:lang w:val="es-419"/>
        </w:rPr>
        <w:t>con</w:t>
      </w:r>
      <w:r w:rsidR="00237C4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al menos 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noventa (90) </w:t>
      </w: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días</w:t>
      </w:r>
      <w:r w:rsidR="0043247D" w:rsidRPr="00BA0702">
        <w:rPr>
          <w:rFonts w:ascii="Century Gothic" w:hAnsi="Century Gothic"/>
          <w:sz w:val="22"/>
          <w:szCs w:val="22"/>
          <w:lang w:val="es-419"/>
        </w:rPr>
        <w:t xml:space="preserve"> de antelación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  <w:r w:rsidR="00A61F3B">
        <w:rPr>
          <w:rFonts w:ascii="Century Gothic" w:hAnsi="Century Gothic"/>
          <w:sz w:val="22"/>
          <w:szCs w:val="22"/>
          <w:lang w:val="es-419"/>
        </w:rPr>
        <w:t>Tampoco</w:t>
      </w:r>
      <w:r w:rsidR="00A61F3B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se le exigirá que se </w:t>
      </w:r>
      <w:r w:rsidR="00F72BBD" w:rsidRPr="00BA0702">
        <w:rPr>
          <w:rFonts w:ascii="Century Gothic" w:hAnsi="Century Gothic"/>
          <w:sz w:val="22"/>
          <w:szCs w:val="22"/>
          <w:lang w:val="es-419"/>
        </w:rPr>
        <w:t>reubique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u w:val="single"/>
          <w:lang w:val="es-419"/>
        </w:rPr>
        <w:t>tempo</w:t>
      </w:r>
      <w:r w:rsidR="00EF7E87" w:rsidRPr="00BA0702">
        <w:rPr>
          <w:rFonts w:ascii="Century Gothic" w:hAnsi="Century Gothic"/>
          <w:sz w:val="22"/>
          <w:szCs w:val="22"/>
          <w:u w:val="single"/>
          <w:lang w:val="es-419"/>
        </w:rPr>
        <w:t>reramente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sin </w:t>
      </w:r>
      <w:r w:rsidR="008413F2" w:rsidRPr="00BA0702">
        <w:rPr>
          <w:rFonts w:ascii="Century Gothic" w:hAnsi="Century Gothic"/>
          <w:sz w:val="22"/>
          <w:szCs w:val="22"/>
          <w:lang w:val="es-419"/>
        </w:rPr>
        <w:t xml:space="preserve">un aviso previo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por escrito </w:t>
      </w:r>
      <w:r w:rsidR="00237C4F">
        <w:rPr>
          <w:rFonts w:ascii="Century Gothic" w:hAnsi="Century Gothic"/>
          <w:sz w:val="22"/>
          <w:szCs w:val="22"/>
          <w:lang w:val="es-419"/>
        </w:rPr>
        <w:t>con</w:t>
      </w:r>
      <w:r w:rsidR="00237C4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al menos 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treinta (30)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 xml:space="preserve">días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de antelación.  </w:t>
      </w:r>
    </w:p>
    <w:p w14:paraId="70D3601B" w14:textId="3D2DB67D" w:rsidR="0066668B" w:rsidRPr="00BA0702" w:rsidRDefault="00237C4F" w:rsidP="00237C4F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 xml:space="preserve">En caso de que tenga que trasladarse </w:t>
      </w:r>
      <w:r w:rsidR="00EF7E87" w:rsidRPr="00025458">
        <w:rPr>
          <w:rFonts w:ascii="Century Gothic" w:hAnsi="Century Gothic"/>
          <w:sz w:val="22"/>
          <w:szCs w:val="22"/>
          <w:u w:val="single"/>
          <w:lang w:val="es-419"/>
        </w:rPr>
        <w:t>tempo</w:t>
      </w:r>
      <w:r w:rsidR="00EF7E87" w:rsidRPr="00BA0702">
        <w:rPr>
          <w:rFonts w:ascii="Century Gothic" w:hAnsi="Century Gothic"/>
          <w:sz w:val="22"/>
          <w:szCs w:val="22"/>
          <w:u w:val="single"/>
          <w:lang w:val="es-419"/>
        </w:rPr>
        <w:t>reramente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una vez finalizada la reparación o reconstrucción de la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 propiedad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antes mencionada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, se le brindará la oportunidad de volver a ocupar su actual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propiedad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bajo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términos y condiciones razonables, incluyendo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hasta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un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(1)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año con un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3C41DA">
        <w:rPr>
          <w:rFonts w:ascii="Century Gothic" w:hAnsi="Century Gothic"/>
          <w:sz w:val="22"/>
          <w:szCs w:val="22"/>
          <w:lang w:val="es-419"/>
        </w:rPr>
        <w:t>canon de arrendamiento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 xml:space="preserve">y costos promedio de servicios </w:t>
      </w:r>
      <w:r w:rsidR="00A61F3B">
        <w:rPr>
          <w:rFonts w:ascii="Century Gothic" w:hAnsi="Century Gothic"/>
          <w:sz w:val="22"/>
          <w:szCs w:val="22"/>
          <w:lang w:val="es-419"/>
        </w:rPr>
        <w:t>bási</w:t>
      </w:r>
      <w:r>
        <w:rPr>
          <w:rFonts w:ascii="Century Gothic" w:hAnsi="Century Gothic"/>
          <w:sz w:val="22"/>
          <w:szCs w:val="22"/>
          <w:lang w:val="es-419"/>
        </w:rPr>
        <w:t xml:space="preserve">cos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que no </w:t>
      </w:r>
      <w:r w:rsidR="00254855" w:rsidRPr="00BA0702">
        <w:rPr>
          <w:rFonts w:ascii="Century Gothic" w:hAnsi="Century Gothic"/>
          <w:sz w:val="22"/>
          <w:szCs w:val="22"/>
          <w:lang w:val="es-419"/>
        </w:rPr>
        <w:t>exceda</w:t>
      </w:r>
      <w:r w:rsidR="003C41DA">
        <w:rPr>
          <w:rFonts w:ascii="Century Gothic" w:hAnsi="Century Gothic"/>
          <w:sz w:val="22"/>
          <w:szCs w:val="22"/>
          <w:lang w:val="es-419"/>
        </w:rPr>
        <w:t>n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la cantidad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que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está pagando actualmente.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79D7A7C9" w14:textId="5F440932" w:rsidR="0066668B" w:rsidRPr="00BA0702" w:rsidRDefault="001D34EA" w:rsidP="00025458">
      <w:pPr>
        <w:pStyle w:val="BodyText"/>
        <w:spacing w:after="160" w:line="259" w:lineRule="auto"/>
        <w:ind w:right="115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Le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exhortamos 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que no se mude permanentemente de su unidad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>no</w:t>
      </w:r>
      <w:r w:rsidR="003C41DA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residencial. </w:t>
      </w:r>
      <w:r w:rsidR="00A61F3B">
        <w:rPr>
          <w:rFonts w:ascii="Century Gothic" w:hAnsi="Century Gothic"/>
          <w:sz w:val="22"/>
          <w:szCs w:val="22"/>
          <w:lang w:val="es-419"/>
        </w:rPr>
        <w:t>Si usted quiere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desalojar voluntariamente la unidad, </w:t>
      </w:r>
      <w:r w:rsidR="00A61F3B">
        <w:rPr>
          <w:rFonts w:ascii="Century Gothic" w:hAnsi="Century Gothic"/>
          <w:sz w:val="22"/>
          <w:szCs w:val="22"/>
          <w:lang w:val="es-419"/>
        </w:rPr>
        <w:t>por favor, tenga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presente que dicho desalojo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puede poner en peligro su capacidad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para recibir asistencia </w:t>
      </w:r>
      <w:r w:rsidR="00444505">
        <w:rPr>
          <w:rFonts w:ascii="Century Gothic" w:hAnsi="Century Gothic"/>
          <w:sz w:val="22"/>
          <w:szCs w:val="22"/>
          <w:lang w:val="es-419"/>
        </w:rPr>
        <w:t>bajo la Ley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URA.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Hasta que se determine</w:t>
      </w:r>
      <w:r w:rsidR="00451F29">
        <w:rPr>
          <w:rFonts w:ascii="Century Gothic" w:hAnsi="Century Gothic"/>
          <w:sz w:val="22"/>
          <w:szCs w:val="22"/>
          <w:lang w:val="es-419"/>
        </w:rPr>
        <w:t xml:space="preserve"> si tiene que mudar</w:t>
      </w:r>
      <w:r w:rsidR="00A61F3B">
        <w:rPr>
          <w:rFonts w:ascii="Century Gothic" w:hAnsi="Century Gothic"/>
          <w:sz w:val="22"/>
          <w:szCs w:val="22"/>
          <w:lang w:val="es-419"/>
        </w:rPr>
        <w:t>se</w:t>
      </w:r>
      <w:r w:rsidR="00451F29">
        <w:rPr>
          <w:rFonts w:ascii="Century Gothic" w:hAnsi="Century Gothic"/>
          <w:sz w:val="22"/>
          <w:szCs w:val="22"/>
          <w:lang w:val="es-419"/>
        </w:rPr>
        <w:t xml:space="preserve"> de la propiedad debido a las actividades del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451F29">
        <w:rPr>
          <w:rFonts w:ascii="Century Gothic" w:hAnsi="Century Gothic"/>
          <w:sz w:val="22"/>
          <w:szCs w:val="22"/>
          <w:lang w:val="es-419"/>
        </w:rPr>
        <w:t>Programa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Pr="00BA0702">
        <w:rPr>
          <w:rFonts w:ascii="Century Gothic" w:hAnsi="Century Gothic"/>
          <w:sz w:val="22"/>
          <w:szCs w:val="22"/>
          <w:lang w:val="es-419"/>
        </w:rPr>
        <w:t>el no pagar el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canon de arrendamiento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y</w:t>
      </w:r>
      <w:r w:rsidR="00A61F3B">
        <w:rPr>
          <w:rFonts w:ascii="Century Gothic" w:hAnsi="Century Gothic"/>
          <w:sz w:val="22"/>
          <w:szCs w:val="22"/>
          <w:lang w:val="es-419"/>
        </w:rPr>
        <w:t>/o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no </w:t>
      </w:r>
      <w:r w:rsidRPr="00BA0702">
        <w:rPr>
          <w:rFonts w:ascii="Century Gothic" w:hAnsi="Century Gothic"/>
          <w:sz w:val="22"/>
          <w:szCs w:val="22"/>
          <w:lang w:val="es-419"/>
        </w:rPr>
        <w:t>cumplir con sus otras obligaciones como inquilino no residencial</w:t>
      </w:r>
      <w:r w:rsidR="00D9727F">
        <w:rPr>
          <w:rFonts w:ascii="Century Gothic" w:hAnsi="Century Gothic"/>
          <w:sz w:val="22"/>
          <w:szCs w:val="22"/>
          <w:lang w:val="es-419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puede ser causa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para el desahucio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y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pérdida de la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asistencia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la reubicación. </w:t>
      </w:r>
      <w:r w:rsidR="00DF4796">
        <w:rPr>
          <w:rFonts w:ascii="Century Gothic" w:hAnsi="Century Gothic"/>
          <w:sz w:val="22"/>
          <w:szCs w:val="22"/>
          <w:lang w:val="es-419"/>
        </w:rPr>
        <w:t>Le advertimos que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, mientras siga ocupando la propiedad,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debe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continuar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pagando su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renta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mensual y cumplir con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cualquier otra obligación </w:t>
      </w:r>
      <w:r w:rsidR="00A61F3B">
        <w:rPr>
          <w:rFonts w:ascii="Century Gothic" w:hAnsi="Century Gothic"/>
          <w:sz w:val="22"/>
          <w:szCs w:val="22"/>
          <w:lang w:val="es-419"/>
        </w:rPr>
        <w:t>especificada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 en 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las condiciones de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su contrato de arrendamient</w:t>
      </w:r>
      <w:r w:rsidR="00A61F3B">
        <w:rPr>
          <w:rFonts w:ascii="Century Gothic" w:hAnsi="Century Gothic"/>
          <w:sz w:val="22"/>
          <w:szCs w:val="22"/>
          <w:lang w:val="es-419"/>
        </w:rPr>
        <w:t>o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  <w:r w:rsidRPr="00BA0702">
        <w:rPr>
          <w:rFonts w:ascii="Century Gothic" w:hAnsi="Century Gothic"/>
          <w:sz w:val="22"/>
          <w:szCs w:val="22"/>
          <w:lang w:val="es-419"/>
        </w:rPr>
        <w:t>S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 incumplimiento con lo anterior podría ser motivo para el desahucio.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Si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usted </w:t>
      </w:r>
      <w:r w:rsidRPr="00BA0702">
        <w:rPr>
          <w:rFonts w:ascii="Century Gothic" w:hAnsi="Century Gothic"/>
          <w:sz w:val="22"/>
          <w:szCs w:val="22"/>
          <w:lang w:val="es-419"/>
        </w:rPr>
        <w:t>decide mudarse o si es desa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huciado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antes de recibir una notificación formal de elegibilidad para la reubicación, no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será elegible para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recibir </w:t>
      </w:r>
      <w:r w:rsidR="0070398F">
        <w:rPr>
          <w:rFonts w:ascii="Century Gothic" w:hAnsi="Century Gothic"/>
          <w:sz w:val="22"/>
          <w:szCs w:val="22"/>
          <w:lang w:val="es-419"/>
        </w:rPr>
        <w:t xml:space="preserve">dicha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asistencia. Es importante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y altamente recomendado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que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usted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se </w:t>
      </w:r>
      <w:r w:rsidR="00C57945" w:rsidRPr="00BA0702">
        <w:rPr>
          <w:rFonts w:ascii="Century Gothic" w:hAnsi="Century Gothic"/>
          <w:sz w:val="22"/>
          <w:szCs w:val="22"/>
          <w:lang w:val="es-419"/>
        </w:rPr>
        <w:t>comunique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con nosotros antes de hacer cualquier plan de mudanza.</w:t>
      </w:r>
    </w:p>
    <w:p w14:paraId="56958574" w14:textId="5021B847" w:rsidR="0066668B" w:rsidRPr="00BA0702" w:rsidRDefault="00C02133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folleto adjunto de HUD, "Asistencia para la reubicación de empresas, organizaciones sin fines de lucro y </w:t>
      </w:r>
      <w:r w:rsidR="009A4BE2" w:rsidRPr="00BA0702">
        <w:rPr>
          <w:rFonts w:ascii="Century Gothic" w:hAnsi="Century Gothic"/>
          <w:sz w:val="22"/>
          <w:szCs w:val="22"/>
          <w:lang w:val="es-419"/>
        </w:rPr>
        <w:t>fincas”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ofrece una explicación de esta asistencia y otra información útil.</w:t>
      </w:r>
    </w:p>
    <w:p w14:paraId="5DDE5DB9" w14:textId="24DC2CE0" w:rsidR="008E5D35" w:rsidRDefault="00FC1A87" w:rsidP="008E5D35">
      <w:pPr>
        <w:adjustRightInd w:val="0"/>
        <w:spacing w:after="160" w:line="276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419"/>
        </w:rPr>
        <w:t>D</w:t>
      </w:r>
      <w:proofErr w:type="spellStart"/>
      <w:r>
        <w:rPr>
          <w:rFonts w:ascii="Century Gothic" w:hAnsi="Century Gothic"/>
          <w:lang w:val="es-ES"/>
        </w:rPr>
        <w:t>e</w:t>
      </w:r>
      <w:proofErr w:type="spellEnd"/>
      <w:r>
        <w:rPr>
          <w:rFonts w:ascii="Century Gothic" w:hAnsi="Century Gothic"/>
          <w:lang w:val="es-ES"/>
        </w:rPr>
        <w:t xml:space="preserve"> conformidad con</w:t>
      </w:r>
      <w:r w:rsidR="008E5D35">
        <w:rPr>
          <w:rFonts w:ascii="Century Gothic" w:hAnsi="Century Gothic"/>
          <w:lang w:val="es-ES"/>
        </w:rPr>
        <w:t xml:space="preserve"> </w:t>
      </w:r>
      <w:r w:rsidR="008E5D35" w:rsidRPr="00946695">
        <w:rPr>
          <w:rFonts w:ascii="Century Gothic" w:hAnsi="Century Gothic"/>
          <w:lang w:val="es-ES"/>
        </w:rPr>
        <w:t>49 C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>F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>R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 w:rsidRPr="00946695">
        <w:rPr>
          <w:rFonts w:ascii="Century Gothic" w:hAnsi="Century Gothic" w:cs="Calibri"/>
          <w:color w:val="000000"/>
          <w:lang w:val="es-ES"/>
        </w:rPr>
        <w:t>§24.10</w:t>
      </w:r>
      <w:r w:rsidR="008E5D35" w:rsidRPr="00946695">
        <w:rPr>
          <w:rFonts w:ascii="Century Gothic" w:hAnsi="Century Gothic"/>
          <w:lang w:val="es-ES"/>
        </w:rPr>
        <w:t xml:space="preserve">, </w:t>
      </w:r>
      <w:r w:rsidR="008E5D35">
        <w:rPr>
          <w:rFonts w:ascii="Century Gothic" w:hAnsi="Century Gothic"/>
          <w:lang w:val="es-ES"/>
        </w:rPr>
        <w:t xml:space="preserve">usted </w:t>
      </w:r>
      <w:r w:rsidR="008E5D35" w:rsidRPr="00946695">
        <w:rPr>
          <w:rFonts w:ascii="Century Gothic" w:hAnsi="Century Gothic"/>
          <w:lang w:val="es-ES"/>
        </w:rPr>
        <w:t xml:space="preserve">tiene derecho a apelar </w:t>
      </w:r>
      <w:r w:rsidR="008E5D35">
        <w:rPr>
          <w:rFonts w:ascii="Century Gothic" w:hAnsi="Century Gothic"/>
          <w:lang w:val="es-ES"/>
        </w:rPr>
        <w:t>por escrito ante el Departamento de la Vivienda de Puerto Rico (</w:t>
      </w:r>
      <w:r w:rsidR="008E5D35" w:rsidRPr="009352BB">
        <w:rPr>
          <w:rFonts w:ascii="Century Gothic" w:hAnsi="Century Gothic"/>
          <w:b/>
          <w:lang w:val="es-ES"/>
        </w:rPr>
        <w:t>Vivienda</w:t>
      </w:r>
      <w:r w:rsidR="008E5D35">
        <w:rPr>
          <w:rFonts w:ascii="Century Gothic" w:hAnsi="Century Gothic"/>
          <w:lang w:val="es-ES"/>
        </w:rPr>
        <w:t xml:space="preserve">) </w:t>
      </w:r>
      <w:r w:rsidR="008E5D35" w:rsidRPr="00946695">
        <w:rPr>
          <w:rFonts w:ascii="Century Gothic" w:hAnsi="Century Gothic"/>
          <w:lang w:val="es-ES"/>
        </w:rPr>
        <w:t xml:space="preserve">cuando </w:t>
      </w:r>
      <w:r w:rsidR="008E5D35">
        <w:rPr>
          <w:rFonts w:ascii="Century Gothic" w:hAnsi="Century Gothic"/>
          <w:lang w:val="es-ES"/>
        </w:rPr>
        <w:t>entienda</w:t>
      </w:r>
      <w:r w:rsidR="008E5D35" w:rsidRPr="00946695">
        <w:rPr>
          <w:rFonts w:ascii="Century Gothic" w:hAnsi="Century Gothic"/>
          <w:lang w:val="es-ES"/>
        </w:rPr>
        <w:t xml:space="preserve"> que </w:t>
      </w:r>
      <w:r w:rsidR="008E5D35">
        <w:rPr>
          <w:rFonts w:ascii="Century Gothic" w:hAnsi="Century Gothic"/>
          <w:lang w:val="es-ES"/>
        </w:rPr>
        <w:t>[</w:t>
      </w:r>
      <w:r w:rsidR="008E5D35" w:rsidRPr="008B4EF8">
        <w:rPr>
          <w:rFonts w:ascii="Century Gothic" w:hAnsi="Century Gothic"/>
          <w:highlight w:val="lightGray"/>
          <w:lang w:val="es-ES"/>
        </w:rPr>
        <w:t>Subrecipiente/Agencia</w:t>
      </w:r>
      <w:r w:rsidR="008E5D35">
        <w:rPr>
          <w:rFonts w:ascii="Century Gothic" w:hAnsi="Century Gothic"/>
          <w:lang w:val="es-ES"/>
        </w:rPr>
        <w:t>]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>
        <w:rPr>
          <w:rFonts w:ascii="Century Gothic" w:hAnsi="Century Gothic"/>
          <w:lang w:val="es-ES"/>
        </w:rPr>
        <w:t>ha fallado en determinar o proveer asistencia bajo la Ley URA.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>
        <w:rPr>
          <w:rFonts w:ascii="Century Gothic" w:hAnsi="Century Gothic"/>
          <w:lang w:val="es-ES"/>
        </w:rPr>
        <w:t xml:space="preserve">Usted </w:t>
      </w:r>
      <w:r w:rsidR="00A61F3B">
        <w:rPr>
          <w:rFonts w:ascii="Century Gothic" w:hAnsi="Century Gothic"/>
          <w:lang w:val="es-ES"/>
        </w:rPr>
        <w:t xml:space="preserve">tiene </w:t>
      </w:r>
      <w:r w:rsidR="008E5D35">
        <w:rPr>
          <w:rFonts w:ascii="Century Gothic" w:hAnsi="Century Gothic"/>
          <w:lang w:val="es-ES"/>
        </w:rPr>
        <w:t xml:space="preserve">derecho a apelar las determinaciones con respecto a la elegibilidad para la asistencia de URA, incluyendo el requisito de reubicación; el monto de los pagos de reubicación u otros gastos relacionados; y el plazo para ejercer los derechos y prerrogativas de la Ley URA, incluyendo los plazos de reubicación. Además, se puede presentar una apelación para alegar deficiencias de Vivienda al proporcionar los </w:t>
      </w:r>
      <w:r w:rsidR="008E5D35">
        <w:rPr>
          <w:rFonts w:ascii="Century Gothic" w:hAnsi="Century Gothic"/>
          <w:lang w:val="es-ES"/>
        </w:rPr>
        <w:lastRenderedPageBreak/>
        <w:t xml:space="preserve">servicios de asesoramiento de asistencia para la reubicación, según se define en 49 C.F.R. </w:t>
      </w:r>
      <w:r w:rsidR="008E5D35" w:rsidRPr="00D0152B">
        <w:rPr>
          <w:rFonts w:ascii="Century Gothic" w:hAnsi="Century Gothic" w:cs="Calibri" w:hint="eastAsia"/>
          <w:color w:val="000000"/>
          <w:lang w:val="es-US"/>
        </w:rPr>
        <w:t>§</w:t>
      </w:r>
      <w:r w:rsidR="008E5D35" w:rsidRPr="00D0152B">
        <w:rPr>
          <w:rFonts w:ascii="Century Gothic" w:hAnsi="Century Gothic" w:cs="Calibri"/>
          <w:color w:val="000000"/>
          <w:lang w:val="es-US"/>
        </w:rPr>
        <w:t xml:space="preserve"> </w:t>
      </w:r>
      <w:r w:rsidR="008E5D35">
        <w:rPr>
          <w:rFonts w:ascii="Century Gothic" w:hAnsi="Century Gothic" w:cs="Calibri"/>
          <w:color w:val="000000"/>
          <w:lang w:val="es-US"/>
        </w:rPr>
        <w:t>24.205(c) y en los documentos por los que se rige la Agencia. La aceptación de los servicios y/o pagos de Vivienda no limita</w:t>
      </w:r>
      <w:r w:rsidR="00A61F3B">
        <w:rPr>
          <w:rFonts w:ascii="Century Gothic" w:hAnsi="Century Gothic" w:cs="Calibri"/>
          <w:color w:val="000000"/>
          <w:lang w:val="es-US"/>
        </w:rPr>
        <w:t>n</w:t>
      </w:r>
      <w:r w:rsidR="008E5D35">
        <w:rPr>
          <w:rFonts w:ascii="Century Gothic" w:hAnsi="Century Gothic" w:cs="Calibri"/>
          <w:color w:val="000000"/>
          <w:lang w:val="es-US"/>
        </w:rPr>
        <w:t xml:space="preserve"> su derecho de apelar.</w:t>
      </w:r>
      <w:r w:rsidR="008E5D35">
        <w:rPr>
          <w:rFonts w:ascii="Century Gothic" w:hAnsi="Century Gothic"/>
          <w:lang w:val="es-ES"/>
        </w:rPr>
        <w:t xml:space="preserve"> Las apelaciones deben presentarse dentro de los </w:t>
      </w:r>
      <w:r w:rsidR="008E5D35" w:rsidRPr="00D0152B">
        <w:rPr>
          <w:rFonts w:ascii="Century Gothic" w:hAnsi="Century Gothic"/>
          <w:b/>
          <w:bCs/>
          <w:lang w:val="es-ES"/>
        </w:rPr>
        <w:t>sesenta (60) días</w:t>
      </w:r>
      <w:r w:rsidR="008E5D35">
        <w:rPr>
          <w:rFonts w:ascii="Century Gothic" w:hAnsi="Century Gothic"/>
          <w:lang w:val="es-ES"/>
        </w:rPr>
        <w:t xml:space="preserve"> a partir de la fecha en que la persona recibe la notificación de la decisión de Vivienda respecto a su reclamo y deben dirigirse por escrito a la siguiente dirección:</w:t>
      </w:r>
    </w:p>
    <w:p w14:paraId="50713F0C" w14:textId="783040B0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Vía correo electrónico:</w:t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hyperlink r:id="rId8" w:history="1">
        <w:r w:rsidRPr="00724066">
          <w:rPr>
            <w:rStyle w:val="Hyperlink"/>
            <w:rFonts w:ascii="Century Gothic" w:hAnsi="Century Gothic"/>
            <w:sz w:val="22"/>
            <w:szCs w:val="22"/>
            <w:lang w:val="es-419"/>
          </w:rPr>
          <w:t>fairhousing@vivienda.pr.gov</w:t>
        </w:r>
      </w:hyperlink>
    </w:p>
    <w:p w14:paraId="6E2EA336" w14:textId="77777777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</w:p>
    <w:p w14:paraId="0DE1A14F" w14:textId="68A07B66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Correo Postal:</w:t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Programa CDBG-DR/MIT de Puerto Rico</w:t>
      </w:r>
    </w:p>
    <w:p w14:paraId="6FAAD962" w14:textId="7364ED9D" w:rsidR="009612DA" w:rsidRDefault="009612DA" w:rsidP="00025458">
      <w:pPr>
        <w:pStyle w:val="BodyText"/>
        <w:spacing w:after="160" w:line="259" w:lineRule="auto"/>
        <w:ind w:left="3600"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>ATTN: Apelaciones URA – División de Cumplimiento Federal y Manejo de Subrecipientes</w:t>
      </w:r>
    </w:p>
    <w:p w14:paraId="21E7FC08" w14:textId="0CA787C6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P.O. Box 21365</w:t>
      </w:r>
    </w:p>
    <w:p w14:paraId="121063AA" w14:textId="6505D0F9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San Juan, PR 00928-1365</w:t>
      </w:r>
    </w:p>
    <w:p w14:paraId="71460688" w14:textId="77777777" w:rsidR="00CE70D6" w:rsidRDefault="00CE70D6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</w:p>
    <w:p w14:paraId="00694CF9" w14:textId="24FBF72C" w:rsidR="008E5D35" w:rsidRDefault="008E5D35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  <w:r w:rsidRPr="00946695">
        <w:rPr>
          <w:rFonts w:ascii="Century Gothic" w:hAnsi="Century Gothic"/>
          <w:lang w:val="es-ES"/>
        </w:rPr>
        <w:t xml:space="preserve">Para más información relacionada </w:t>
      </w:r>
      <w:r>
        <w:rPr>
          <w:rFonts w:ascii="Century Gothic" w:hAnsi="Century Gothic"/>
          <w:lang w:val="es-ES"/>
        </w:rPr>
        <w:t>con e</w:t>
      </w:r>
      <w:r w:rsidRPr="00946695">
        <w:rPr>
          <w:rFonts w:ascii="Century Gothic" w:hAnsi="Century Gothic"/>
          <w:lang w:val="es-ES"/>
        </w:rPr>
        <w:t xml:space="preserve">l proceso de apelación </w:t>
      </w:r>
      <w:r>
        <w:rPr>
          <w:rFonts w:ascii="Century Gothic" w:hAnsi="Century Gothic"/>
          <w:lang w:val="es-ES"/>
        </w:rPr>
        <w:t>bajo</w:t>
      </w:r>
      <w:r w:rsidRPr="00946695">
        <w:rPr>
          <w:rFonts w:ascii="Century Gothic" w:hAnsi="Century Gothic"/>
          <w:lang w:val="es-ES"/>
        </w:rPr>
        <w:t xml:space="preserve"> la</w:t>
      </w:r>
      <w:r>
        <w:rPr>
          <w:rFonts w:ascii="Century Gothic" w:hAnsi="Century Gothic"/>
          <w:lang w:val="es-ES"/>
        </w:rPr>
        <w:t xml:space="preserve"> Ley</w:t>
      </w:r>
      <w:r w:rsidRPr="00946695">
        <w:rPr>
          <w:rFonts w:ascii="Century Gothic" w:hAnsi="Century Gothic"/>
          <w:lang w:val="es-ES"/>
        </w:rPr>
        <w:t xml:space="preserve"> URA</w:t>
      </w:r>
      <w:r>
        <w:rPr>
          <w:rFonts w:ascii="Century Gothic" w:hAnsi="Century Gothic"/>
          <w:lang w:val="es-ES"/>
        </w:rPr>
        <w:t>,</w:t>
      </w:r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puede acceder</w:t>
      </w:r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a la </w:t>
      </w:r>
      <w:r w:rsidRPr="004F6630">
        <w:rPr>
          <w:rFonts w:ascii="Century Gothic" w:hAnsi="Century Gothic"/>
          <w:lang w:val="es-ES"/>
        </w:rPr>
        <w:t xml:space="preserve">Guía sobre Asistencia Uniforme de Reubicación &amp; Plan de Relocalización y Anti-desplazamiento Residencial de Vivienda </w:t>
      </w:r>
      <w:r w:rsidRPr="004F6630">
        <w:rPr>
          <w:rFonts w:ascii="Century Gothic" w:hAnsi="Century Gothic"/>
          <w:bCs/>
          <w:lang w:val="es-ES"/>
        </w:rPr>
        <w:t>(</w:t>
      </w:r>
      <w:r w:rsidRPr="009352BB">
        <w:rPr>
          <w:rFonts w:ascii="Century Gothic" w:hAnsi="Century Gothic"/>
          <w:b/>
          <w:bCs/>
          <w:lang w:val="es-ES"/>
        </w:rPr>
        <w:t>Guía de URA &amp; ADP</w:t>
      </w:r>
      <w:r w:rsidRPr="004F6630">
        <w:rPr>
          <w:rFonts w:ascii="Century Gothic" w:hAnsi="Century Gothic"/>
          <w:bCs/>
          <w:lang w:val="es-ES"/>
        </w:rPr>
        <w:t>)</w:t>
      </w:r>
      <w:r>
        <w:rPr>
          <w:rFonts w:ascii="Century Gothic" w:hAnsi="Century Gothic"/>
          <w:bCs/>
          <w:lang w:val="es-ES"/>
        </w:rPr>
        <w:t>,</w:t>
      </w:r>
      <w:r>
        <w:rPr>
          <w:rFonts w:ascii="Century Gothic" w:hAnsi="Century Gothic"/>
          <w:b/>
          <w:lang w:val="es-ES"/>
        </w:rPr>
        <w:t xml:space="preserve"> </w:t>
      </w:r>
      <w:r w:rsidRPr="00CE65A6">
        <w:rPr>
          <w:rFonts w:ascii="Century Gothic" w:hAnsi="Century Gothic"/>
          <w:lang w:val="es-ES"/>
        </w:rPr>
        <w:t>en</w:t>
      </w:r>
      <w:r>
        <w:rPr>
          <w:rFonts w:ascii="Century Gothic" w:hAnsi="Century Gothic"/>
          <w:lang w:val="es-ES"/>
        </w:rPr>
        <w:t xml:space="preserve"> español y en inglés, en</w:t>
      </w:r>
      <w:r w:rsidRPr="00D63D7F">
        <w:rPr>
          <w:rFonts w:ascii="Century Gothic" w:hAnsi="Century Gothic"/>
          <w:lang w:val="es-ES_tradnl"/>
        </w:rPr>
        <w:t xml:space="preserve"> </w:t>
      </w:r>
      <w:hyperlink r:id="rId9" w:history="1">
        <w:r w:rsidRPr="0013458E">
          <w:rPr>
            <w:rStyle w:val="Hyperlink"/>
            <w:rFonts w:ascii="Century Gothic" w:hAnsi="Century Gothic"/>
            <w:lang w:val="es-ES_tradnl"/>
          </w:rPr>
          <w:t>https://cdbg-dr.pr.gov/download/guias-ura-adp/</w:t>
        </w:r>
      </w:hyperlink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y </w:t>
      </w:r>
      <w:hyperlink r:id="rId10" w:history="1">
        <w:r w:rsidRPr="005B7DBC">
          <w:rPr>
            <w:rStyle w:val="Hyperlink"/>
            <w:rFonts w:ascii="Century Gothic" w:hAnsi="Century Gothic"/>
            <w:lang w:val="es-ES"/>
          </w:rPr>
          <w:t>https://cdbg-dr.pr.gov/en/download/ura-adp-guidelines/</w:t>
        </w:r>
      </w:hyperlink>
      <w:r>
        <w:rPr>
          <w:rFonts w:ascii="Century Gothic" w:hAnsi="Century Gothic"/>
          <w:lang w:val="es-ES"/>
        </w:rPr>
        <w:t xml:space="preserve">. </w:t>
      </w:r>
    </w:p>
    <w:p w14:paraId="54479E16" w14:textId="77777777" w:rsidR="008E5D35" w:rsidRPr="00946695" w:rsidRDefault="008E5D35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</w:p>
    <w:p w14:paraId="2EB80BAD" w14:textId="390B6ACA" w:rsidR="0066668B" w:rsidRPr="00BA0702" w:rsidRDefault="00A779DD" w:rsidP="00025458">
      <w:pPr>
        <w:pStyle w:val="Default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BA0702">
        <w:rPr>
          <w:rFonts w:ascii="Century Gothic" w:hAnsi="Century Gothic"/>
          <w:b/>
          <w:sz w:val="22"/>
          <w:szCs w:val="22"/>
        </w:rPr>
        <w:t>POR</w:t>
      </w:r>
      <w:r w:rsidR="00121F78" w:rsidRPr="00BA0702">
        <w:rPr>
          <w:rFonts w:ascii="Century Gothic" w:hAnsi="Century Gothic"/>
          <w:b/>
          <w:sz w:val="22"/>
          <w:szCs w:val="22"/>
        </w:rPr>
        <w:t xml:space="preserve"> </w:t>
      </w:r>
      <w:r w:rsidRPr="00BA0702">
        <w:rPr>
          <w:rFonts w:ascii="Century Gothic" w:hAnsi="Century Gothic"/>
          <w:b/>
          <w:sz w:val="22"/>
          <w:szCs w:val="22"/>
        </w:rPr>
        <w:t>FAVOR</w:t>
      </w:r>
      <w:r w:rsidR="00121F78" w:rsidRPr="00BA0702">
        <w:rPr>
          <w:rFonts w:ascii="Century Gothic" w:hAnsi="Century Gothic"/>
          <w:b/>
          <w:sz w:val="22"/>
          <w:szCs w:val="22"/>
        </w:rPr>
        <w:t>, RECUERDE</w:t>
      </w:r>
      <w:r w:rsidR="0066668B" w:rsidRPr="00BA0702">
        <w:rPr>
          <w:rFonts w:ascii="Century Gothic" w:hAnsi="Century Gothic"/>
          <w:b/>
          <w:sz w:val="22"/>
          <w:szCs w:val="22"/>
        </w:rPr>
        <w:t xml:space="preserve">: </w:t>
      </w:r>
    </w:p>
    <w:p w14:paraId="79E26967" w14:textId="4F0F317B" w:rsidR="0066668B" w:rsidRPr="00BA0702" w:rsidRDefault="003D751F" w:rsidP="00025458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Este no es un aviso de desalojo</w:t>
      </w:r>
      <w:r w:rsidR="009F130F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de la propiedad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No debe mudarse de </w:t>
      </w:r>
      <w:r w:rsidR="008E5D35">
        <w:rPr>
          <w:rFonts w:ascii="Century Gothic" w:hAnsi="Century Gothic"/>
          <w:b/>
          <w:bCs/>
          <w:sz w:val="22"/>
          <w:szCs w:val="22"/>
          <w:lang w:val="es-419"/>
        </w:rPr>
        <w:t>la propiedad</w:t>
      </w:r>
      <w:r w:rsidR="009F130F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 xml:space="preserve">por el hecho 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de 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 xml:space="preserve">haber 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>recibi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>do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 este aviso</w:t>
      </w:r>
      <w:r w:rsidR="0066668B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</w:t>
      </w:r>
    </w:p>
    <w:p w14:paraId="7DF29CDC" w14:textId="45F677AB" w:rsidR="0066668B" w:rsidRPr="00BA0702" w:rsidRDefault="00CD5413" w:rsidP="00025458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Este no es un aviso de elegibilidad de reubicación</w:t>
      </w:r>
      <w:r w:rsidR="008E5D35">
        <w:rPr>
          <w:rFonts w:ascii="Century Gothic" w:hAnsi="Century Gothic"/>
          <w:b/>
          <w:bCs/>
          <w:sz w:val="22"/>
          <w:szCs w:val="22"/>
          <w:lang w:val="es-419"/>
        </w:rPr>
        <w:t xml:space="preserve"> bajo la Ley URA</w:t>
      </w:r>
      <w:r w:rsidR="0066668B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</w:t>
      </w:r>
    </w:p>
    <w:p w14:paraId="658456EA" w14:textId="48981730" w:rsidR="00D33587" w:rsidRPr="00946695" w:rsidRDefault="008E5D35" w:rsidP="00D33587">
      <w:pPr>
        <w:pStyle w:val="Default"/>
        <w:spacing w:after="160" w:line="276" w:lineRule="auto"/>
        <w:jc w:val="both"/>
        <w:rPr>
          <w:lang w:val="es-ES"/>
        </w:rPr>
      </w:pPr>
      <w:r>
        <w:rPr>
          <w:rFonts w:ascii="Century Gothic" w:hAnsi="Century Gothic"/>
          <w:sz w:val="22"/>
          <w:szCs w:val="22"/>
          <w:lang w:val="es-419"/>
        </w:rPr>
        <w:t>Pronto n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os pondremos en contacto con usted para obtener información adicional 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>y proveer más información relacionada a la asistencia de</w:t>
      </w:r>
      <w:r w:rsidR="00A800F1">
        <w:rPr>
          <w:rFonts w:ascii="Century Gothic" w:hAnsi="Century Gothic"/>
          <w:sz w:val="22"/>
          <w:szCs w:val="22"/>
          <w:lang w:val="es-419"/>
        </w:rPr>
        <w:t xml:space="preserve"> la Ley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 xml:space="preserve"> URA descrita en este aviso. 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Haremos todo lo posible para </w:t>
      </w:r>
      <w:r>
        <w:rPr>
          <w:rFonts w:ascii="Century Gothic" w:hAnsi="Century Gothic"/>
          <w:sz w:val="22"/>
          <w:szCs w:val="22"/>
          <w:lang w:val="es-419"/>
        </w:rPr>
        <w:t>satisfacer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 las necesidades de su empresa, organización sin fines de lucro o finca. Mientras tanto, si tiene alguna pregunta sobre este aviso o el proyecto propuesto, 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 xml:space="preserve">puede comunicarse con 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[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</w:t>
      </w:r>
      <w:r w:rsidR="00D33587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del 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]</w:t>
      </w:r>
      <w:r w:rsidR="00D33587">
        <w:rPr>
          <w:rFonts w:ascii="Century Gothic" w:hAnsi="Century Gothic"/>
          <w:sz w:val="22"/>
          <w:szCs w:val="22"/>
          <w:lang w:val="es-ES"/>
        </w:rPr>
        <w:t>,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 xml:space="preserve"> al [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N</w:t>
      </w:r>
      <w:r w:rsidR="00D33587" w:rsidRPr="0094669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úmero de teléfono 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del 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] o a [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C</w:t>
      </w:r>
      <w:r w:rsidR="00D33587" w:rsidRPr="0094669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orreo electrónico del </w:t>
      </w:r>
      <w:r w:rsidR="00D33587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 w:cstheme="minorHAnsi"/>
          <w:sz w:val="22"/>
          <w:szCs w:val="22"/>
          <w:lang w:val="es-ES"/>
        </w:rPr>
        <w:t>]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.</w:t>
      </w:r>
      <w:r w:rsidR="00D33587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2504377C" w14:textId="21074459" w:rsidR="0066668B" w:rsidRPr="00D33587" w:rsidRDefault="0066668B" w:rsidP="00D33587">
      <w:pPr>
        <w:pStyle w:val="Default"/>
        <w:spacing w:after="160" w:line="259" w:lineRule="auto"/>
        <w:jc w:val="both"/>
        <w:rPr>
          <w:rFonts w:ascii="Century Gothic" w:hAnsi="Century Gothic"/>
          <w:sz w:val="22"/>
          <w:szCs w:val="22"/>
          <w:lang w:val="es-ES"/>
        </w:rPr>
      </w:pPr>
    </w:p>
    <w:p w14:paraId="2DD1670A" w14:textId="0DBE5EB6" w:rsidR="0066668B" w:rsidRPr="00BA0702" w:rsidRDefault="00427AEF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Cordialmente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</w:p>
    <w:p w14:paraId="556AC00D" w14:textId="77777777" w:rsidR="0066668B" w:rsidRPr="00BA0702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7B568F41" w14:textId="77777777" w:rsidR="0066668B" w:rsidRPr="00BA0702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4360AE0C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Firma Digital</w:t>
      </w:r>
      <w:r>
        <w:rPr>
          <w:rFonts w:ascii="Century Gothic" w:eastAsia="Calibri" w:hAnsi="Century Gothic" w:cs="Calibri"/>
          <w:lang w:val="es-ES"/>
        </w:rPr>
        <w:t>]</w:t>
      </w:r>
    </w:p>
    <w:p w14:paraId="6F01D048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Nombre Completo del Manejador de Caso URA</w:t>
      </w:r>
      <w:r>
        <w:rPr>
          <w:rFonts w:ascii="Century Gothic" w:eastAsia="Calibri" w:hAnsi="Century Gothic" w:cs="Calibri"/>
          <w:lang w:val="es-ES"/>
        </w:rPr>
        <w:t>]</w:t>
      </w:r>
    </w:p>
    <w:p w14:paraId="33A056C3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Manejador de Caso URA</w:t>
      </w:r>
    </w:p>
    <w:p w14:paraId="20407CFF" w14:textId="6AD76764" w:rsidR="004339AF" w:rsidRPr="008B4EF8" w:rsidRDefault="008E5D35" w:rsidP="008B4EF8">
      <w:pPr>
        <w:spacing w:line="259" w:lineRule="auto"/>
        <w:rPr>
          <w:rFonts w:ascii="Century Gothic" w:hAnsi="Century Gothic"/>
          <w:lang w:val="es-419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Nombre de la Agencia/Entidad</w:t>
      </w:r>
      <w:r>
        <w:rPr>
          <w:rFonts w:ascii="Century Gothic" w:eastAsia="Calibri" w:hAnsi="Century Gothic" w:cs="Calibri"/>
          <w:lang w:val="es-ES"/>
        </w:rPr>
        <w:t>]</w:t>
      </w:r>
    </w:p>
    <w:sectPr w:rsidR="004339AF" w:rsidRPr="008B4EF8" w:rsidSect="008B4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C98E" w14:textId="77777777" w:rsidR="008B2818" w:rsidRDefault="008B2818" w:rsidP="0066668B">
      <w:r>
        <w:separator/>
      </w:r>
    </w:p>
  </w:endnote>
  <w:endnote w:type="continuationSeparator" w:id="0">
    <w:p w14:paraId="51FC1795" w14:textId="77777777" w:rsidR="008B2818" w:rsidRDefault="008B2818" w:rsidP="006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A99A" w14:textId="77777777" w:rsidR="00FB0A0B" w:rsidRDefault="00FB0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763E" w14:textId="77777777" w:rsidR="00FB0A0B" w:rsidRDefault="00FB0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D9B" w14:textId="7AE1BB2D" w:rsidR="00EF3907" w:rsidRDefault="00EF3907">
    <w:pPr>
      <w:pStyle w:val="Footer"/>
    </w:pPr>
    <w:bookmarkStart w:id="0" w:name="_Hlk67940048"/>
    <w:bookmarkStart w:id="1" w:name="_Hlk67940049"/>
    <w:r>
      <w:rPr>
        <w:noProof/>
        <w:lang w:val="es-PR" w:eastAsia="es-PR"/>
      </w:rPr>
      <w:drawing>
        <wp:anchor distT="0" distB="0" distL="114300" distR="114300" simplePos="0" relativeHeight="251663360" behindDoc="0" locked="0" layoutInCell="1" allowOverlap="1" wp14:anchorId="40D6B75E" wp14:editId="2938854F">
          <wp:simplePos x="0" y="0"/>
          <wp:positionH relativeFrom="column">
            <wp:posOffset>-348578</wp:posOffset>
          </wp:positionH>
          <wp:positionV relativeFrom="paragraph">
            <wp:posOffset>8721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F802" w14:textId="77777777" w:rsidR="008B2818" w:rsidRDefault="008B2818" w:rsidP="0066668B">
      <w:r>
        <w:separator/>
      </w:r>
    </w:p>
  </w:footnote>
  <w:footnote w:type="continuationSeparator" w:id="0">
    <w:p w14:paraId="6D456134" w14:textId="77777777" w:rsidR="008B2818" w:rsidRDefault="008B2818" w:rsidP="0066668B">
      <w:r>
        <w:continuationSeparator/>
      </w:r>
    </w:p>
  </w:footnote>
  <w:footnote w:id="1">
    <w:p w14:paraId="49B61D53" w14:textId="5891B5F2" w:rsidR="0066668B" w:rsidRPr="00032B17" w:rsidRDefault="0066668B" w:rsidP="0066668B">
      <w:pPr>
        <w:pStyle w:val="FootnoteText"/>
        <w:rPr>
          <w:rFonts w:ascii="Century Gothic" w:hAnsi="Century Gothic"/>
          <w:sz w:val="16"/>
          <w:szCs w:val="16"/>
          <w:lang w:val="es-419"/>
        </w:rPr>
      </w:pPr>
      <w:r w:rsidRPr="00BD47A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</w:t>
      </w:r>
      <w:r w:rsidR="00B052AD" w:rsidRPr="00032B17">
        <w:rPr>
          <w:rFonts w:ascii="Century Gothic" w:hAnsi="Century Gothic"/>
          <w:sz w:val="16"/>
          <w:szCs w:val="16"/>
          <w:lang w:val="es-419"/>
        </w:rPr>
        <w:t>La d</w:t>
      </w:r>
      <w:r w:rsidRPr="00032B17">
        <w:rPr>
          <w:rFonts w:ascii="Century Gothic" w:hAnsi="Century Gothic"/>
          <w:sz w:val="16"/>
          <w:szCs w:val="16"/>
          <w:lang w:val="es-419"/>
        </w:rPr>
        <w:t>efi</w:t>
      </w:r>
      <w:r w:rsidR="00B052AD" w:rsidRPr="00032B17">
        <w:rPr>
          <w:rFonts w:ascii="Century Gothic" w:hAnsi="Century Gothic"/>
          <w:sz w:val="16"/>
          <w:szCs w:val="16"/>
          <w:lang w:val="es-419"/>
        </w:rPr>
        <w:t>nición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de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“person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a desplazada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”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y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“person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as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no d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esplazadas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”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se establecen</w:t>
      </w:r>
      <w:r w:rsidR="00072814" w:rsidRPr="00032B17">
        <w:rPr>
          <w:rFonts w:ascii="Century Gothic" w:hAnsi="Century Gothic"/>
          <w:sz w:val="16"/>
          <w:szCs w:val="16"/>
          <w:lang w:val="es-419"/>
        </w:rPr>
        <w:t xml:space="preserve"> en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49 C.F.R. § 24.2(a)(9)</w:t>
      </w:r>
      <w:r w:rsidR="00072814" w:rsidRPr="00032B17">
        <w:rPr>
          <w:rFonts w:ascii="Century Gothic" w:hAnsi="Century Gothic"/>
          <w:sz w:val="16"/>
          <w:szCs w:val="16"/>
          <w:lang w:val="es-419"/>
        </w:rPr>
        <w:t>.</w:t>
      </w:r>
    </w:p>
  </w:footnote>
  <w:footnote w:id="2">
    <w:p w14:paraId="2B5097CA" w14:textId="2BA9E420" w:rsidR="009140FE" w:rsidRPr="008B4EF8" w:rsidRDefault="009140FE">
      <w:pPr>
        <w:pStyle w:val="FootnoteText"/>
        <w:rPr>
          <w:rFonts w:ascii="Century Gothic" w:hAnsi="Century Gothic"/>
          <w:sz w:val="16"/>
          <w:szCs w:val="16"/>
          <w:lang w:val="es-PR"/>
        </w:rPr>
      </w:pPr>
      <w:r w:rsidRPr="00025458">
        <w:rPr>
          <w:rStyle w:val="FootnoteReference"/>
          <w:rFonts w:ascii="Century Gothic" w:hAnsi="Century Gothic"/>
          <w:sz w:val="16"/>
          <w:szCs w:val="16"/>
        </w:rPr>
        <w:footnoteRef/>
      </w:r>
      <w:r w:rsidRPr="00025458">
        <w:rPr>
          <w:rFonts w:ascii="Century Gothic" w:hAnsi="Century Gothic"/>
          <w:sz w:val="16"/>
          <w:szCs w:val="16"/>
          <w:lang w:val="es-PR"/>
        </w:rPr>
        <w:t xml:space="preserve"> La </w:t>
      </w:r>
      <w:r w:rsidR="00EF7E87" w:rsidRPr="00025458">
        <w:rPr>
          <w:rFonts w:ascii="Century Gothic" w:hAnsi="Century Gothic"/>
          <w:sz w:val="16"/>
          <w:szCs w:val="16"/>
          <w:lang w:val="es-PR"/>
        </w:rPr>
        <w:t>definición</w:t>
      </w:r>
      <w:r w:rsidRPr="00025458">
        <w:rPr>
          <w:rFonts w:ascii="Century Gothic" w:hAnsi="Century Gothic"/>
          <w:sz w:val="16"/>
          <w:szCs w:val="16"/>
          <w:lang w:val="es-PR"/>
        </w:rPr>
        <w:t xml:space="preserve"> </w:t>
      </w:r>
      <w:r w:rsidR="00EF7E87" w:rsidRPr="00025458">
        <w:rPr>
          <w:rFonts w:ascii="Century Gothic" w:hAnsi="Century Gothic"/>
          <w:sz w:val="16"/>
          <w:szCs w:val="16"/>
          <w:lang w:val="es-PR"/>
        </w:rPr>
        <w:t>de “de dificulta excepcional y sumamente inusual” para un conyugue, padre o hijo se establece en 49 C.F.R. §24.208(h).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FF20" w14:textId="77777777" w:rsidR="00FB0A0B" w:rsidRDefault="00FB0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3DF" w14:textId="6202555C" w:rsidR="009140FE" w:rsidRPr="001F001A" w:rsidRDefault="009140FE" w:rsidP="00645327">
    <w:pPr>
      <w:pStyle w:val="Header"/>
      <w:ind w:left="-720"/>
      <w:jc w:val="right"/>
      <w:rPr>
        <w:rFonts w:ascii="Century Gothic" w:hAnsi="Century Gothic"/>
        <w:sz w:val="18"/>
      </w:rPr>
    </w:pPr>
    <w:r w:rsidRPr="0045203F">
      <w:rPr>
        <w:rFonts w:ascii="Century Gothic" w:hAnsi="Century Gothic"/>
        <w:sz w:val="18"/>
      </w:rPr>
      <w:t>Pr</w:t>
    </w:r>
    <w:r w:rsidRPr="001F001A">
      <w:rPr>
        <w:rFonts w:ascii="Century Gothic" w:hAnsi="Century Gothic"/>
        <w:sz w:val="18"/>
      </w:rPr>
      <w:t>ograma [</w:t>
    </w:r>
    <w:r w:rsidRPr="001F001A">
      <w:rPr>
        <w:rFonts w:ascii="Century Gothic" w:hAnsi="Century Gothic"/>
        <w:sz w:val="18"/>
        <w:highlight w:val="lightGray"/>
      </w:rPr>
      <w:t>CDBG-DR/CDBG-MIT</w:t>
    </w:r>
    <w:r w:rsidRPr="001F001A">
      <w:rPr>
        <w:rFonts w:ascii="Century Gothic" w:hAnsi="Century Gothic"/>
        <w:sz w:val="18"/>
      </w:rPr>
      <w:t>]</w:t>
    </w:r>
  </w:p>
  <w:p w14:paraId="0E9188D6" w14:textId="10C4B8A4" w:rsidR="009140FE" w:rsidRPr="00A61F3B" w:rsidRDefault="009140FE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A61F3B">
      <w:rPr>
        <w:rFonts w:ascii="Century Gothic" w:hAnsi="Century Gothic"/>
        <w:sz w:val="18"/>
        <w:lang w:val="es-PR"/>
      </w:rPr>
      <w:t>[</w:t>
    </w:r>
    <w:r w:rsidRPr="00A61F3B">
      <w:rPr>
        <w:rFonts w:ascii="Century Gothic" w:hAnsi="Century Gothic"/>
        <w:sz w:val="18"/>
        <w:highlight w:val="lightGray"/>
        <w:lang w:val="es-PR"/>
      </w:rPr>
      <w:t>Nombre del Programa CDBG-DR/MIT</w:t>
    </w:r>
    <w:r w:rsidRPr="00A61F3B">
      <w:rPr>
        <w:rFonts w:ascii="Century Gothic" w:hAnsi="Century Gothic"/>
        <w:sz w:val="18"/>
        <w:lang w:val="es-PR"/>
      </w:rPr>
      <w:t>]</w:t>
    </w:r>
  </w:p>
  <w:p w14:paraId="6A8FDF6D" w14:textId="4451A2CF" w:rsidR="00FB0A0B" w:rsidRPr="008B4EF8" w:rsidRDefault="003312EB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>[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N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ombre de la</w:t>
    </w:r>
    <w:r w:rsidRPr="008B4EF8">
      <w:rPr>
        <w:rFonts w:ascii="Century Gothic" w:hAnsi="Century Gothic"/>
        <w:spacing w:val="-1"/>
        <w:sz w:val="18"/>
        <w:szCs w:val="18"/>
        <w:highlight w:val="lightGray"/>
        <w:lang w:val="es-PR"/>
      </w:rPr>
      <w:t xml:space="preserve"> 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Agenc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ia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/Enti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dad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/Person</w:t>
    </w:r>
    <w:r w:rsidR="00EB0010" w:rsidRPr="008B4EF8">
      <w:rPr>
        <w:rFonts w:ascii="Century Gothic" w:hAnsi="Century Gothic"/>
        <w:sz w:val="18"/>
        <w:szCs w:val="18"/>
        <w:highlight w:val="lightGray"/>
        <w:lang w:val="es-PR"/>
      </w:rPr>
      <w:t>a</w:t>
    </w:r>
    <w:r w:rsidRPr="008B4EF8">
      <w:rPr>
        <w:rFonts w:ascii="Century Gothic" w:hAnsi="Century Gothic"/>
        <w:sz w:val="18"/>
        <w:lang w:val="es-PR"/>
      </w:rPr>
      <w:t>]</w:t>
    </w:r>
  </w:p>
  <w:p w14:paraId="2C7B567B" w14:textId="64A6632F" w:rsidR="00FB0A0B" w:rsidRPr="008B4EF8" w:rsidRDefault="0069704A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>Aviso de Informaci</w:t>
    </w:r>
    <w:r w:rsidR="00EB0010" w:rsidRPr="008B4EF8">
      <w:rPr>
        <w:rFonts w:ascii="Century Gothic" w:hAnsi="Century Gothic"/>
        <w:sz w:val="18"/>
        <w:lang w:val="es-PR"/>
      </w:rPr>
      <w:t>ó</w:t>
    </w:r>
    <w:r w:rsidRPr="008B4EF8">
      <w:rPr>
        <w:rFonts w:ascii="Century Gothic" w:hAnsi="Century Gothic"/>
        <w:sz w:val="18"/>
        <w:lang w:val="es-PR"/>
      </w:rPr>
      <w:t xml:space="preserve">n </w:t>
    </w:r>
    <w:r w:rsidR="003312EB" w:rsidRPr="008B4EF8">
      <w:rPr>
        <w:rFonts w:ascii="Century Gothic" w:hAnsi="Century Gothic"/>
        <w:sz w:val="18"/>
        <w:lang w:val="es-PR"/>
      </w:rPr>
      <w:t xml:space="preserve">General </w:t>
    </w:r>
    <w:r w:rsidRPr="008B4EF8">
      <w:rPr>
        <w:rFonts w:ascii="Century Gothic" w:hAnsi="Century Gothic"/>
        <w:sz w:val="18"/>
        <w:lang w:val="es-PR"/>
      </w:rPr>
      <w:t xml:space="preserve">para </w:t>
    </w:r>
    <w:r w:rsidR="00EB0010" w:rsidRPr="008B4EF8">
      <w:rPr>
        <w:rFonts w:ascii="Century Gothic" w:hAnsi="Century Gothic"/>
        <w:sz w:val="18"/>
        <w:lang w:val="es-PR"/>
      </w:rPr>
      <w:t>O</w:t>
    </w:r>
    <w:r w:rsidR="00733824" w:rsidRPr="008B4EF8">
      <w:rPr>
        <w:rFonts w:ascii="Century Gothic" w:hAnsi="Century Gothic"/>
        <w:sz w:val="18"/>
        <w:lang w:val="es-PR"/>
      </w:rPr>
      <w:t>cupantes</w:t>
    </w:r>
    <w:r w:rsidR="003312EB" w:rsidRPr="008B4EF8">
      <w:rPr>
        <w:rFonts w:ascii="Century Gothic" w:hAnsi="Century Gothic"/>
        <w:sz w:val="18"/>
        <w:lang w:val="es-PR"/>
      </w:rPr>
      <w:t xml:space="preserve"> No</w:t>
    </w:r>
    <w:r w:rsidR="00A61F3B">
      <w:rPr>
        <w:rFonts w:ascii="Century Gothic" w:hAnsi="Century Gothic"/>
        <w:sz w:val="18"/>
        <w:lang w:val="es-PR"/>
      </w:rPr>
      <w:t xml:space="preserve"> R</w:t>
    </w:r>
    <w:r w:rsidR="003312EB" w:rsidRPr="008B4EF8">
      <w:rPr>
        <w:rFonts w:ascii="Century Gothic" w:hAnsi="Century Gothic"/>
        <w:sz w:val="18"/>
        <w:lang w:val="es-PR"/>
      </w:rPr>
      <w:t>esiden</w:t>
    </w:r>
    <w:r w:rsidR="00EB0010" w:rsidRPr="008B4EF8">
      <w:rPr>
        <w:rFonts w:ascii="Century Gothic" w:hAnsi="Century Gothic"/>
        <w:sz w:val="18"/>
        <w:lang w:val="es-PR"/>
      </w:rPr>
      <w:t>c</w:t>
    </w:r>
    <w:r w:rsidR="003312EB" w:rsidRPr="008B4EF8">
      <w:rPr>
        <w:rFonts w:ascii="Century Gothic" w:hAnsi="Century Gothic"/>
        <w:sz w:val="18"/>
        <w:lang w:val="es-PR"/>
      </w:rPr>
      <w:t>ial</w:t>
    </w:r>
    <w:r w:rsidR="00EB0010" w:rsidRPr="008B4EF8">
      <w:rPr>
        <w:rFonts w:ascii="Century Gothic" w:hAnsi="Century Gothic"/>
        <w:sz w:val="18"/>
        <w:lang w:val="es-PR"/>
      </w:rPr>
      <w:t>es</w:t>
    </w:r>
    <w:r w:rsidR="003312EB" w:rsidRPr="008B4EF8">
      <w:rPr>
        <w:rFonts w:ascii="Century Gothic" w:hAnsi="Century Gothic"/>
        <w:sz w:val="18"/>
        <w:lang w:val="es-PR"/>
      </w:rPr>
      <w:t xml:space="preserve"> </w:t>
    </w:r>
  </w:p>
  <w:p w14:paraId="12B16628" w14:textId="77777777" w:rsidR="00FB0A0B" w:rsidRPr="008B4EF8" w:rsidRDefault="003312EB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 xml:space="preserve">Page </w:t>
    </w:r>
    <w:r w:rsidRPr="008B4EF8">
      <w:rPr>
        <w:rFonts w:ascii="Century Gothic" w:hAnsi="Century Gothic"/>
        <w:sz w:val="18"/>
        <w:lang w:val="es-PR"/>
      </w:rPr>
      <w:fldChar w:fldCharType="begin"/>
    </w:r>
    <w:r w:rsidRPr="008B4EF8">
      <w:rPr>
        <w:rFonts w:ascii="Century Gothic" w:hAnsi="Century Gothic"/>
        <w:sz w:val="18"/>
        <w:lang w:val="es-PR"/>
      </w:rPr>
      <w:instrText xml:space="preserve"> PAGE   \* MERGEFORMAT </w:instrText>
    </w:r>
    <w:r w:rsidRPr="008B4EF8">
      <w:rPr>
        <w:rFonts w:ascii="Century Gothic" w:hAnsi="Century Gothic"/>
        <w:sz w:val="18"/>
        <w:lang w:val="es-PR"/>
      </w:rPr>
      <w:fldChar w:fldCharType="separate"/>
    </w:r>
    <w:r w:rsidRPr="008B4EF8">
      <w:rPr>
        <w:rFonts w:ascii="Century Gothic" w:hAnsi="Century Gothic"/>
        <w:sz w:val="18"/>
        <w:lang w:val="es-PR"/>
      </w:rPr>
      <w:t>2</w:t>
    </w:r>
    <w:r w:rsidRPr="008B4EF8">
      <w:rPr>
        <w:rFonts w:ascii="Century Gothic" w:hAnsi="Century Gothic"/>
        <w:sz w:val="18"/>
        <w:lang w:val="es-PR"/>
      </w:rPr>
      <w:fldChar w:fldCharType="end"/>
    </w:r>
    <w:r w:rsidRPr="008B4EF8">
      <w:rPr>
        <w:rFonts w:ascii="Century Gothic" w:hAnsi="Century Gothic"/>
        <w:sz w:val="18"/>
        <w:lang w:val="es-PR"/>
      </w:rPr>
      <w:t xml:space="preserve"> / </w:t>
    </w:r>
    <w:r w:rsidRPr="008B4EF8">
      <w:rPr>
        <w:rFonts w:ascii="Century Gothic" w:hAnsi="Century Gothic"/>
        <w:sz w:val="18"/>
        <w:lang w:val="es-PR"/>
      </w:rPr>
      <w:fldChar w:fldCharType="begin"/>
    </w:r>
    <w:r w:rsidRPr="008B4EF8">
      <w:rPr>
        <w:rFonts w:ascii="Century Gothic" w:hAnsi="Century Gothic"/>
        <w:sz w:val="18"/>
        <w:lang w:val="es-PR"/>
      </w:rPr>
      <w:instrText xml:space="preserve"> NUMPAGES   \* MERGEFORMAT </w:instrText>
    </w:r>
    <w:r w:rsidRPr="008B4EF8">
      <w:rPr>
        <w:rFonts w:ascii="Century Gothic" w:hAnsi="Century Gothic"/>
        <w:sz w:val="18"/>
        <w:lang w:val="es-PR"/>
      </w:rPr>
      <w:fldChar w:fldCharType="separate"/>
    </w:r>
    <w:r w:rsidRPr="008B4EF8">
      <w:rPr>
        <w:rFonts w:ascii="Century Gothic" w:hAnsi="Century Gothic"/>
        <w:sz w:val="18"/>
        <w:lang w:val="es-PR"/>
      </w:rPr>
      <w:t>3</w:t>
    </w:r>
    <w:r w:rsidRPr="008B4EF8">
      <w:rPr>
        <w:rFonts w:ascii="Century Gothic" w:hAnsi="Century Gothic"/>
        <w:sz w:val="18"/>
        <w:lang w:val="es-PR"/>
      </w:rPr>
      <w:fldChar w:fldCharType="end"/>
    </w:r>
  </w:p>
  <w:p w14:paraId="3AA8CC39" w14:textId="77777777" w:rsidR="00FB0A0B" w:rsidRDefault="00FB0A0B" w:rsidP="0064532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478" w14:textId="168C749C" w:rsidR="000E191E" w:rsidRDefault="00FB0A0B" w:rsidP="00FB0A0B">
    <w:pPr>
      <w:pStyle w:val="Header"/>
      <w:tabs>
        <w:tab w:val="clear" w:pos="4680"/>
        <w:tab w:val="clear" w:pos="9360"/>
        <w:tab w:val="left" w:pos="1155"/>
        <w:tab w:val="left" w:pos="759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25623DB2" wp14:editId="263CB950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505585" cy="475615"/>
          <wp:effectExtent l="0" t="0" r="0" b="63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91E">
      <w:tab/>
    </w:r>
    <w:r>
      <w:tab/>
    </w:r>
  </w:p>
  <w:p w14:paraId="0DB0937B" w14:textId="6EA8B947" w:rsidR="0085271B" w:rsidRDefault="0085271B" w:rsidP="0085271B">
    <w:pPr>
      <w:pStyle w:val="Header"/>
      <w:tabs>
        <w:tab w:val="clear" w:pos="4680"/>
        <w:tab w:val="clear" w:pos="9360"/>
        <w:tab w:val="left" w:pos="7590"/>
      </w:tabs>
      <w:jc w:val="right"/>
      <w:rPr>
        <w:rFonts w:ascii="Century Gothic" w:hAnsi="Century Gothic"/>
        <w:sz w:val="16"/>
        <w:szCs w:val="16"/>
      </w:rPr>
    </w:pPr>
    <w:r w:rsidRPr="006F68BE">
      <w:rPr>
        <w:rFonts w:ascii="Century Gothic" w:hAnsi="Century Gothic"/>
        <w:sz w:val="16"/>
        <w:szCs w:val="16"/>
      </w:rPr>
      <w:t xml:space="preserve">V.1 | </w:t>
    </w:r>
    <w:r w:rsidR="008B4EF8">
      <w:rPr>
        <w:rFonts w:ascii="Century Gothic" w:hAnsi="Century Gothic"/>
        <w:sz w:val="16"/>
        <w:szCs w:val="16"/>
      </w:rPr>
      <w:t>01</w:t>
    </w:r>
    <w:r w:rsidRPr="006F68BE">
      <w:rPr>
        <w:rFonts w:ascii="Century Gothic" w:hAnsi="Century Gothic"/>
        <w:sz w:val="16"/>
        <w:szCs w:val="16"/>
      </w:rPr>
      <w:t>-</w:t>
    </w:r>
    <w:r w:rsidR="008B4EF8">
      <w:rPr>
        <w:rFonts w:ascii="Century Gothic" w:hAnsi="Century Gothic"/>
        <w:sz w:val="16"/>
        <w:szCs w:val="16"/>
      </w:rPr>
      <w:t>25</w:t>
    </w:r>
    <w:r w:rsidRPr="006F68BE">
      <w:rPr>
        <w:rFonts w:ascii="Century Gothic" w:hAnsi="Century Gothic"/>
        <w:sz w:val="16"/>
        <w:szCs w:val="16"/>
      </w:rPr>
      <w:t>-202</w:t>
    </w:r>
    <w:r w:rsidR="008B4EF8">
      <w:rPr>
        <w:rFonts w:ascii="Century Gothic" w:hAnsi="Century Gothic"/>
        <w:sz w:val="16"/>
        <w:szCs w:val="16"/>
      </w:rPr>
      <w:t>3</w:t>
    </w:r>
  </w:p>
  <w:p w14:paraId="7C68349E" w14:textId="6B4173E5" w:rsidR="00FB0A0B" w:rsidRDefault="00FB0A0B" w:rsidP="00E918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505"/>
    <w:multiLevelType w:val="hybridMultilevel"/>
    <w:tmpl w:val="C51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2D0"/>
    <w:multiLevelType w:val="hybridMultilevel"/>
    <w:tmpl w:val="B57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19D8"/>
    <w:multiLevelType w:val="hybridMultilevel"/>
    <w:tmpl w:val="61B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48858">
    <w:abstractNumId w:val="2"/>
  </w:num>
  <w:num w:numId="2" w16cid:durableId="980161476">
    <w:abstractNumId w:val="0"/>
  </w:num>
  <w:num w:numId="3" w16cid:durableId="47437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jQDInMLE0NTAyUdpeDU4uLM/DyQAqNaAFJf5issAAAA"/>
  </w:docVars>
  <w:rsids>
    <w:rsidRoot w:val="0066668B"/>
    <w:rsid w:val="00000392"/>
    <w:rsid w:val="000201F0"/>
    <w:rsid w:val="00025458"/>
    <w:rsid w:val="00032B17"/>
    <w:rsid w:val="00054E17"/>
    <w:rsid w:val="00065D62"/>
    <w:rsid w:val="00072814"/>
    <w:rsid w:val="000963F0"/>
    <w:rsid w:val="000D5066"/>
    <w:rsid w:val="000E191E"/>
    <w:rsid w:val="001029D3"/>
    <w:rsid w:val="00121F78"/>
    <w:rsid w:val="0012250F"/>
    <w:rsid w:val="001526CA"/>
    <w:rsid w:val="00155B0F"/>
    <w:rsid w:val="001B465C"/>
    <w:rsid w:val="001D34EA"/>
    <w:rsid w:val="001F001A"/>
    <w:rsid w:val="00237C4F"/>
    <w:rsid w:val="00243844"/>
    <w:rsid w:val="00254855"/>
    <w:rsid w:val="00274007"/>
    <w:rsid w:val="0029123C"/>
    <w:rsid w:val="00297745"/>
    <w:rsid w:val="002A1CD8"/>
    <w:rsid w:val="002B2C18"/>
    <w:rsid w:val="002B3179"/>
    <w:rsid w:val="002B6507"/>
    <w:rsid w:val="002D017C"/>
    <w:rsid w:val="002D4B4D"/>
    <w:rsid w:val="002D7239"/>
    <w:rsid w:val="003312EB"/>
    <w:rsid w:val="00372431"/>
    <w:rsid w:val="003C41DA"/>
    <w:rsid w:val="003D751F"/>
    <w:rsid w:val="003E5083"/>
    <w:rsid w:val="00427AEF"/>
    <w:rsid w:val="0043247D"/>
    <w:rsid w:val="004339AF"/>
    <w:rsid w:val="00444505"/>
    <w:rsid w:val="00451F29"/>
    <w:rsid w:val="0045203F"/>
    <w:rsid w:val="004F5D9B"/>
    <w:rsid w:val="005128DD"/>
    <w:rsid w:val="00557392"/>
    <w:rsid w:val="005C0EA9"/>
    <w:rsid w:val="0062511D"/>
    <w:rsid w:val="00654108"/>
    <w:rsid w:val="0066201E"/>
    <w:rsid w:val="0066668B"/>
    <w:rsid w:val="0067265E"/>
    <w:rsid w:val="0067288C"/>
    <w:rsid w:val="006741BA"/>
    <w:rsid w:val="0069704A"/>
    <w:rsid w:val="006A55A7"/>
    <w:rsid w:val="006B651E"/>
    <w:rsid w:val="006B7C8A"/>
    <w:rsid w:val="006F053E"/>
    <w:rsid w:val="006F45F5"/>
    <w:rsid w:val="00700332"/>
    <w:rsid w:val="0070398F"/>
    <w:rsid w:val="00721D3A"/>
    <w:rsid w:val="00733824"/>
    <w:rsid w:val="00742A5F"/>
    <w:rsid w:val="007542A6"/>
    <w:rsid w:val="00760362"/>
    <w:rsid w:val="0077655F"/>
    <w:rsid w:val="007868EA"/>
    <w:rsid w:val="007D054D"/>
    <w:rsid w:val="007E6BAB"/>
    <w:rsid w:val="007F680F"/>
    <w:rsid w:val="00812262"/>
    <w:rsid w:val="008413F2"/>
    <w:rsid w:val="0085271B"/>
    <w:rsid w:val="00854ABF"/>
    <w:rsid w:val="0086041F"/>
    <w:rsid w:val="008960EE"/>
    <w:rsid w:val="008B2818"/>
    <w:rsid w:val="008B4EF8"/>
    <w:rsid w:val="008B75B0"/>
    <w:rsid w:val="008C2397"/>
    <w:rsid w:val="008D25A1"/>
    <w:rsid w:val="008E4BF4"/>
    <w:rsid w:val="008E5C10"/>
    <w:rsid w:val="008E5D35"/>
    <w:rsid w:val="008F18D2"/>
    <w:rsid w:val="008F3627"/>
    <w:rsid w:val="009140FE"/>
    <w:rsid w:val="0095023C"/>
    <w:rsid w:val="009531D9"/>
    <w:rsid w:val="009612DA"/>
    <w:rsid w:val="009675F7"/>
    <w:rsid w:val="009676CA"/>
    <w:rsid w:val="009A19CB"/>
    <w:rsid w:val="009A4BE2"/>
    <w:rsid w:val="009C0A75"/>
    <w:rsid w:val="009E1B82"/>
    <w:rsid w:val="009F130F"/>
    <w:rsid w:val="00A040E5"/>
    <w:rsid w:val="00A04A67"/>
    <w:rsid w:val="00A44B5C"/>
    <w:rsid w:val="00A47384"/>
    <w:rsid w:val="00A61F3B"/>
    <w:rsid w:val="00A779DD"/>
    <w:rsid w:val="00A800F1"/>
    <w:rsid w:val="00AA51CF"/>
    <w:rsid w:val="00AA7D86"/>
    <w:rsid w:val="00AE7B37"/>
    <w:rsid w:val="00B052AD"/>
    <w:rsid w:val="00B1658D"/>
    <w:rsid w:val="00B50ADC"/>
    <w:rsid w:val="00B55380"/>
    <w:rsid w:val="00B76069"/>
    <w:rsid w:val="00B80FFC"/>
    <w:rsid w:val="00B9021F"/>
    <w:rsid w:val="00BA0702"/>
    <w:rsid w:val="00BB46E8"/>
    <w:rsid w:val="00BF2BE7"/>
    <w:rsid w:val="00C02133"/>
    <w:rsid w:val="00C10337"/>
    <w:rsid w:val="00C5327B"/>
    <w:rsid w:val="00C57945"/>
    <w:rsid w:val="00C82600"/>
    <w:rsid w:val="00C87E10"/>
    <w:rsid w:val="00CA1F49"/>
    <w:rsid w:val="00CA3C39"/>
    <w:rsid w:val="00CD5413"/>
    <w:rsid w:val="00CD62EB"/>
    <w:rsid w:val="00CE55A8"/>
    <w:rsid w:val="00CE70D6"/>
    <w:rsid w:val="00D00813"/>
    <w:rsid w:val="00D11472"/>
    <w:rsid w:val="00D15044"/>
    <w:rsid w:val="00D27774"/>
    <w:rsid w:val="00D33587"/>
    <w:rsid w:val="00D405ED"/>
    <w:rsid w:val="00D53C88"/>
    <w:rsid w:val="00D62F67"/>
    <w:rsid w:val="00D72986"/>
    <w:rsid w:val="00D92916"/>
    <w:rsid w:val="00D96893"/>
    <w:rsid w:val="00D9727F"/>
    <w:rsid w:val="00DF1787"/>
    <w:rsid w:val="00DF3678"/>
    <w:rsid w:val="00DF4796"/>
    <w:rsid w:val="00E275ED"/>
    <w:rsid w:val="00E37C6F"/>
    <w:rsid w:val="00E7294B"/>
    <w:rsid w:val="00E94FF3"/>
    <w:rsid w:val="00E973E0"/>
    <w:rsid w:val="00EB0010"/>
    <w:rsid w:val="00EE4D25"/>
    <w:rsid w:val="00EF3907"/>
    <w:rsid w:val="00EF7E87"/>
    <w:rsid w:val="00F05147"/>
    <w:rsid w:val="00F260ED"/>
    <w:rsid w:val="00F366CA"/>
    <w:rsid w:val="00F72517"/>
    <w:rsid w:val="00F72BBD"/>
    <w:rsid w:val="00F90432"/>
    <w:rsid w:val="00F932D3"/>
    <w:rsid w:val="00F9513D"/>
    <w:rsid w:val="00FB0A0B"/>
    <w:rsid w:val="00FB1C85"/>
    <w:rsid w:val="00FB35B2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562F7"/>
  <w15:chartTrackingRefBased/>
  <w15:docId w15:val="{69495F98-8827-4D0D-ABD0-96CF713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66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668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6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8B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6666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666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68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unhideWhenUsed/>
    <w:rsid w:val="0066668B"/>
    <w:rPr>
      <w:vertAlign w:val="superscript"/>
    </w:rPr>
  </w:style>
  <w:style w:type="character" w:styleId="Hyperlink">
    <w:name w:val="Hyperlink"/>
    <w:basedOn w:val="DefaultParagraphFont"/>
    <w:rsid w:val="0066668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0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32"/>
    <w:rPr>
      <w:rFonts w:ascii="Times New Roman" w:eastAsia="Times New Roman" w:hAnsi="Times New Roman" w:cs="Times New Roman"/>
      <w:lang w:bidi="en-US"/>
    </w:rPr>
  </w:style>
  <w:style w:type="paragraph" w:customStyle="1" w:styleId="paragraph">
    <w:name w:val="paragraph"/>
    <w:basedOn w:val="Normal"/>
    <w:rsid w:val="0076036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60362"/>
  </w:style>
  <w:style w:type="character" w:customStyle="1" w:styleId="eop">
    <w:name w:val="eop"/>
    <w:basedOn w:val="DefaultParagraphFont"/>
    <w:rsid w:val="00760362"/>
  </w:style>
  <w:style w:type="character" w:styleId="CommentReference">
    <w:name w:val="annotation reference"/>
    <w:basedOn w:val="DefaultParagraphFont"/>
    <w:uiPriority w:val="99"/>
    <w:semiHidden/>
    <w:unhideWhenUsed/>
    <w:rsid w:val="0003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B1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1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7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9140FE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2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D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housing@vivienda.pr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dbg-dr.pr.gov/en/download/ura-adp-guidelines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cdbg-dr.pr.gov/download/guias-ura-adp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7" ma:contentTypeDescription="Create a new document." ma:contentTypeScope="" ma:versionID="ed4f510b949175e29fe58c54c522c481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81255eacf3963ab2e128a4bf40a654fe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226C4BD9-71C9-49AF-AA4A-374ECDA29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81138-5498-447B-8708-D91D41EB0DCC}"/>
</file>

<file path=customXml/itemProps3.xml><?xml version="1.0" encoding="utf-8"?>
<ds:datastoreItem xmlns:ds="http://schemas.openxmlformats.org/officeDocument/2006/customXml" ds:itemID="{0B5373EE-586C-4548-8F2C-26957781F981}"/>
</file>

<file path=customXml/itemProps4.xml><?xml version="1.0" encoding="utf-8"?>
<ds:datastoreItem xmlns:ds="http://schemas.openxmlformats.org/officeDocument/2006/customXml" ds:itemID="{26C31C89-D9B3-4819-929C-3FAFFD2D0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Carolina I. Fernandez-Acosta</cp:lastModifiedBy>
  <cp:revision>2</cp:revision>
  <dcterms:created xsi:type="dcterms:W3CDTF">2024-01-30T15:06:00Z</dcterms:created>
  <dcterms:modified xsi:type="dcterms:W3CDTF">2024-01-30T15:06:00Z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6c0c35a8a48ca5113546a24700353bec0c4dc6b40565fa489dd2556e70ca233f</vt:lpwstr>
  </property>
  <property fmtid="{D5CDD505-2E9C-101B-9397-08002B2CF9AE}" pid="3" name="ContentTypeId">
    <vt:lpwstr>0x010100688B7B566F59844F9E1970B84973E1DA</vt:lpwstr>
  </property>
</Properties>
</file>