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8E58" w14:textId="399C43AE" w:rsidR="001B0220" w:rsidRPr="00852A19" w:rsidRDefault="001B0220" w:rsidP="001B0220">
      <w:pPr>
        <w:pStyle w:val="BodyText"/>
        <w:spacing w:before="8"/>
        <w:rPr>
          <w:rFonts w:ascii="Century Gothic" w:hAnsi="Century Gothic"/>
          <w:highlight w:val="lightGray"/>
          <w:lang w:val="en-US"/>
        </w:rPr>
      </w:pPr>
      <w:r w:rsidRPr="00852A19">
        <w:rPr>
          <w:rFonts w:ascii="Century Gothic" w:hAnsi="Century Gothic"/>
          <w:highlight w:val="lightGray"/>
          <w:lang w:val="en-US" w:bidi="es-ES"/>
        </w:rPr>
        <w:t>[</w:t>
      </w:r>
      <w:proofErr w:type="spellStart"/>
      <w:r w:rsidRPr="00852A19">
        <w:rPr>
          <w:rFonts w:ascii="Century Gothic" w:hAnsi="Century Gothic"/>
          <w:highlight w:val="lightGray"/>
          <w:lang w:val="en-US" w:bidi="es-ES"/>
        </w:rPr>
        <w:t>Fecha</w:t>
      </w:r>
      <w:proofErr w:type="spellEnd"/>
      <w:r w:rsidRPr="00852A19">
        <w:rPr>
          <w:rFonts w:ascii="Century Gothic" w:hAnsi="Century Gothic"/>
          <w:highlight w:val="lightGray"/>
          <w:lang w:val="en-US" w:bidi="es-ES"/>
        </w:rPr>
        <w:t>]</w:t>
      </w:r>
    </w:p>
    <w:p w14:paraId="4E68C446" w14:textId="77777777" w:rsidR="001B0220" w:rsidRPr="00852A19" w:rsidRDefault="001B0220" w:rsidP="001B0220">
      <w:pPr>
        <w:pStyle w:val="BodyText"/>
        <w:spacing w:before="8"/>
        <w:rPr>
          <w:rFonts w:ascii="Century Gothic" w:hAnsi="Century Gothic"/>
          <w:highlight w:val="lightGray"/>
          <w:lang w:val="en-US"/>
        </w:rPr>
      </w:pPr>
    </w:p>
    <w:p w14:paraId="167DCC14" w14:textId="77777777" w:rsidR="00FB6D1D" w:rsidRPr="00852A19" w:rsidRDefault="00FB6D1D" w:rsidP="001B0220">
      <w:pPr>
        <w:pStyle w:val="BodyText"/>
        <w:spacing w:before="8"/>
        <w:rPr>
          <w:rFonts w:ascii="Century Gothic" w:hAnsi="Century Gothic"/>
          <w:highlight w:val="lightGray"/>
          <w:lang w:val="en-US"/>
        </w:rPr>
      </w:pPr>
    </w:p>
    <w:p w14:paraId="5ECE277A" w14:textId="780DB180" w:rsidR="00497E4C" w:rsidRPr="00D43135" w:rsidRDefault="001B0220" w:rsidP="001B0220">
      <w:pPr>
        <w:pStyle w:val="BodyText"/>
        <w:spacing w:before="8"/>
        <w:rPr>
          <w:rFonts w:ascii="Century Gothic" w:hAnsi="Century Gothic"/>
          <w:highlight w:val="lightGray"/>
          <w:lang w:val="en-US"/>
        </w:rPr>
      </w:pPr>
      <w:r w:rsidRPr="00D43135">
        <w:rPr>
          <w:rFonts w:ascii="Century Gothic" w:hAnsi="Century Gothic"/>
          <w:highlight w:val="lightGray"/>
          <w:lang w:val="en-US" w:bidi="es-ES"/>
        </w:rPr>
        <w:t>[</w:t>
      </w:r>
      <w:r w:rsidR="000C5BD0" w:rsidRPr="00D43135">
        <w:rPr>
          <w:rFonts w:ascii="Century Gothic" w:hAnsi="Century Gothic"/>
          <w:highlight w:val="lightGray"/>
          <w:lang w:val="en-US"/>
        </w:rPr>
        <w:t>PRDOH Finance Division Team Payer Manager and/or Principal Accountant Name</w:t>
      </w:r>
      <w:r w:rsidR="001634DD">
        <w:rPr>
          <w:rFonts w:ascii="Century Gothic" w:hAnsi="Century Gothic"/>
          <w:highlight w:val="lightGray"/>
          <w:lang w:val="en-US"/>
        </w:rPr>
        <w:t>]</w:t>
      </w:r>
    </w:p>
    <w:p w14:paraId="3B325E0A" w14:textId="405F6945" w:rsidR="00163409" w:rsidRDefault="00497E4C" w:rsidP="001B0220">
      <w:pPr>
        <w:pStyle w:val="BodyText"/>
        <w:spacing w:before="8"/>
        <w:rPr>
          <w:rFonts w:ascii="Century Gothic" w:hAnsi="Century Gothic"/>
          <w:lang w:bidi="es-ES"/>
        </w:rPr>
      </w:pPr>
      <w:r w:rsidRPr="00EC0545">
        <w:rPr>
          <w:rFonts w:ascii="Century Gothic" w:hAnsi="Century Gothic"/>
          <w:lang w:bidi="es-ES"/>
        </w:rPr>
        <w:t>División de Finanzas</w:t>
      </w:r>
    </w:p>
    <w:p w14:paraId="249B413A" w14:textId="253B733B" w:rsidR="001634DD" w:rsidRPr="00D43135" w:rsidRDefault="001634DD" w:rsidP="001B0220">
      <w:pPr>
        <w:pStyle w:val="BodyText"/>
        <w:spacing w:before="8"/>
        <w:rPr>
          <w:rFonts w:ascii="Century Gothic" w:hAnsi="Century Gothic"/>
        </w:rPr>
      </w:pPr>
      <w:r w:rsidRPr="00D43135">
        <w:rPr>
          <w:rFonts w:ascii="Century Gothic" w:hAnsi="Century Gothic"/>
        </w:rPr>
        <w:t>Departamento de la Vivienda de Puerto Rico</w:t>
      </w:r>
    </w:p>
    <w:p w14:paraId="2A9BE782" w14:textId="72509E08" w:rsidR="001B0220" w:rsidRPr="00852A19" w:rsidRDefault="001B741E" w:rsidP="001B0220">
      <w:pPr>
        <w:pStyle w:val="BodyText"/>
        <w:spacing w:before="8"/>
        <w:rPr>
          <w:rFonts w:ascii="Century Gothic" w:hAnsi="Century Gothic"/>
          <w:lang w:val="en-US"/>
        </w:rPr>
      </w:pPr>
      <w:proofErr w:type="spellStart"/>
      <w:r w:rsidRPr="00852A19">
        <w:rPr>
          <w:rFonts w:ascii="Century Gothic" w:hAnsi="Century Gothic"/>
          <w:lang w:val="en-US" w:bidi="es-ES"/>
        </w:rPr>
        <w:t>Programa</w:t>
      </w:r>
      <w:proofErr w:type="spellEnd"/>
      <w:r w:rsidRPr="00852A19">
        <w:rPr>
          <w:rFonts w:ascii="Century Gothic" w:hAnsi="Century Gothic"/>
          <w:lang w:val="en-US" w:bidi="es-ES"/>
        </w:rPr>
        <w:t xml:space="preserve"> </w:t>
      </w:r>
      <w:r w:rsidR="00163409" w:rsidRPr="00852A19">
        <w:rPr>
          <w:rFonts w:ascii="Century Gothic" w:hAnsi="Century Gothic"/>
          <w:highlight w:val="lightGray"/>
          <w:lang w:val="en-US" w:bidi="es-ES"/>
        </w:rPr>
        <w:t>[CDBG-DR] [CDBG-MIT]</w:t>
      </w:r>
    </w:p>
    <w:p w14:paraId="43711389" w14:textId="77777777" w:rsidR="001A749E" w:rsidRPr="00852A19" w:rsidRDefault="001A749E" w:rsidP="001B0220">
      <w:pPr>
        <w:pStyle w:val="BodyText"/>
        <w:spacing w:before="8"/>
        <w:rPr>
          <w:rFonts w:ascii="Century Gothic" w:hAnsi="Century Gothic"/>
          <w:lang w:val="en-US"/>
        </w:rPr>
      </w:pPr>
    </w:p>
    <w:p w14:paraId="0773C8B3" w14:textId="2936A90D" w:rsidR="00405124" w:rsidRPr="00EC0545" w:rsidRDefault="001A749E" w:rsidP="001B0220">
      <w:pPr>
        <w:pStyle w:val="BodyText"/>
        <w:spacing w:before="8"/>
        <w:rPr>
          <w:rFonts w:ascii="Century Gothic" w:hAnsi="Century Gothic"/>
          <w:b/>
          <w:bCs/>
        </w:rPr>
      </w:pPr>
      <w:r w:rsidRPr="00EC0545">
        <w:rPr>
          <w:rFonts w:ascii="Century Gothic" w:hAnsi="Century Gothic"/>
          <w:lang w:bidi="es-ES"/>
        </w:rPr>
        <w:t xml:space="preserve">Re: </w:t>
      </w:r>
      <w:r w:rsidR="00002271">
        <w:rPr>
          <w:rFonts w:ascii="Century Gothic" w:hAnsi="Century Gothic"/>
          <w:lang w:bidi="es-ES"/>
        </w:rPr>
        <w:tab/>
      </w:r>
      <w:r w:rsidRPr="00EC0545">
        <w:rPr>
          <w:rFonts w:ascii="Century Gothic" w:hAnsi="Century Gothic"/>
          <w:b/>
          <w:lang w:bidi="es-ES"/>
        </w:rPr>
        <w:t>Memorando de Solicitud de Fondos para la Adquisición de Bienes Inmuebles</w:t>
      </w:r>
    </w:p>
    <w:p w14:paraId="35C43CE2" w14:textId="36C5AFF8" w:rsidR="0079076A" w:rsidRPr="00EC0545" w:rsidRDefault="0079076A" w:rsidP="00002271">
      <w:pPr>
        <w:pStyle w:val="BodyText"/>
        <w:spacing w:before="8"/>
        <w:ind w:firstLine="720"/>
        <w:rPr>
          <w:rFonts w:ascii="Century Gothic" w:hAnsi="Century Gothic"/>
          <w:b/>
          <w:bCs/>
        </w:rPr>
      </w:pPr>
      <w:r w:rsidRPr="00EC0545">
        <w:rPr>
          <w:rFonts w:ascii="Century Gothic" w:hAnsi="Century Gothic"/>
          <w:b/>
          <w:highlight w:val="lightGray"/>
          <w:lang w:bidi="es-ES"/>
        </w:rPr>
        <w:t xml:space="preserve">[Nombre del </w:t>
      </w:r>
      <w:proofErr w:type="spellStart"/>
      <w:r w:rsidRPr="00EC0545">
        <w:rPr>
          <w:rFonts w:ascii="Century Gothic" w:hAnsi="Century Gothic"/>
          <w:b/>
          <w:highlight w:val="lightGray"/>
          <w:lang w:bidi="es-ES"/>
        </w:rPr>
        <w:t>Subrecipiente</w:t>
      </w:r>
      <w:proofErr w:type="spellEnd"/>
      <w:r w:rsidRPr="00EC0545">
        <w:rPr>
          <w:rFonts w:ascii="Century Gothic" w:hAnsi="Century Gothic"/>
          <w:b/>
          <w:highlight w:val="lightGray"/>
          <w:lang w:bidi="es-ES"/>
        </w:rPr>
        <w:t>/</w:t>
      </w:r>
      <w:r w:rsidR="001634DD">
        <w:rPr>
          <w:rFonts w:ascii="Century Gothic" w:hAnsi="Century Gothic"/>
          <w:b/>
          <w:highlight w:val="lightGray"/>
          <w:lang w:bidi="es-ES"/>
        </w:rPr>
        <w:t>A</w:t>
      </w:r>
      <w:r w:rsidRPr="00EC0545">
        <w:rPr>
          <w:rFonts w:ascii="Century Gothic" w:hAnsi="Century Gothic"/>
          <w:b/>
          <w:highlight w:val="lightGray"/>
          <w:lang w:bidi="es-ES"/>
        </w:rPr>
        <w:t>gencia</w:t>
      </w:r>
      <w:r w:rsidR="001634DD">
        <w:rPr>
          <w:rFonts w:ascii="Century Gothic" w:hAnsi="Century Gothic"/>
          <w:b/>
          <w:highlight w:val="lightGray"/>
          <w:lang w:bidi="es-ES"/>
        </w:rPr>
        <w:t>/Entidad</w:t>
      </w:r>
      <w:r w:rsidRPr="00EC0545">
        <w:rPr>
          <w:rFonts w:ascii="Century Gothic" w:hAnsi="Century Gothic"/>
          <w:b/>
          <w:highlight w:val="lightGray"/>
          <w:lang w:bidi="es-ES"/>
        </w:rPr>
        <w:t>]</w:t>
      </w:r>
    </w:p>
    <w:p w14:paraId="11E7D286" w14:textId="60BE8659" w:rsidR="00F172F4" w:rsidRDefault="00F172F4" w:rsidP="00002271">
      <w:pPr>
        <w:pStyle w:val="BodyText"/>
        <w:spacing w:before="8"/>
        <w:ind w:firstLine="720"/>
        <w:rPr>
          <w:rFonts w:ascii="Century Gothic" w:hAnsi="Century Gothic"/>
          <w:b/>
          <w:lang w:bidi="es-ES"/>
        </w:rPr>
      </w:pPr>
      <w:r w:rsidRPr="00EC0545">
        <w:rPr>
          <w:rFonts w:ascii="Century Gothic" w:hAnsi="Century Gothic"/>
          <w:b/>
          <w:highlight w:val="lightGray"/>
          <w:lang w:bidi="es-ES"/>
        </w:rPr>
        <w:t>[Nombre del programa]</w:t>
      </w:r>
    </w:p>
    <w:p w14:paraId="6AF6A6F9" w14:textId="00B844C6" w:rsidR="00002271" w:rsidRPr="00852A19" w:rsidRDefault="00002271" w:rsidP="00002271">
      <w:pPr>
        <w:pStyle w:val="BodyText"/>
        <w:spacing w:before="8"/>
        <w:ind w:firstLine="720"/>
        <w:rPr>
          <w:rFonts w:ascii="Century Gothic" w:hAnsi="Century Gothic"/>
        </w:rPr>
      </w:pPr>
      <w:r w:rsidRPr="00852A19">
        <w:rPr>
          <w:rFonts w:ascii="Century Gothic" w:hAnsi="Century Gothic"/>
          <w:b/>
          <w:highlight w:val="lightGray"/>
          <w:lang w:bidi="es-ES"/>
        </w:rPr>
        <w:t xml:space="preserve">[Programa </w:t>
      </w:r>
      <w:proofErr w:type="spellStart"/>
      <w:r w:rsidRPr="00852A19">
        <w:rPr>
          <w:rFonts w:ascii="Century Gothic" w:hAnsi="Century Gothic"/>
          <w:b/>
          <w:highlight w:val="lightGray"/>
          <w:lang w:bidi="es-ES"/>
        </w:rPr>
        <w:t>CDBG-DR</w:t>
      </w:r>
      <w:proofErr w:type="spellEnd"/>
      <w:r w:rsidRPr="00852A19">
        <w:rPr>
          <w:rFonts w:ascii="Century Gothic" w:hAnsi="Century Gothic"/>
          <w:b/>
          <w:highlight w:val="lightGray"/>
          <w:lang w:bidi="es-ES"/>
        </w:rPr>
        <w:t xml:space="preserve">/ </w:t>
      </w:r>
      <w:proofErr w:type="spellStart"/>
      <w:r w:rsidRPr="00852A19">
        <w:rPr>
          <w:rFonts w:ascii="Century Gothic" w:hAnsi="Century Gothic"/>
          <w:b/>
          <w:highlight w:val="lightGray"/>
          <w:lang w:bidi="es-ES"/>
        </w:rPr>
        <w:t>CDBG-MIT</w:t>
      </w:r>
      <w:proofErr w:type="spellEnd"/>
      <w:r w:rsidRPr="00852A19">
        <w:rPr>
          <w:rFonts w:ascii="Century Gothic" w:hAnsi="Century Gothic"/>
          <w:b/>
          <w:highlight w:val="lightGray"/>
          <w:lang w:bidi="es-ES"/>
        </w:rPr>
        <w:t>]</w:t>
      </w:r>
    </w:p>
    <w:p w14:paraId="1EE07D9A" w14:textId="77777777" w:rsidR="00405124" w:rsidRPr="00852A19" w:rsidRDefault="00405124" w:rsidP="001B0220">
      <w:pPr>
        <w:pStyle w:val="BodyText"/>
        <w:spacing w:before="8"/>
        <w:rPr>
          <w:rFonts w:ascii="Century Gothic" w:hAnsi="Century Gothic"/>
        </w:rPr>
      </w:pPr>
    </w:p>
    <w:p w14:paraId="162B8682" w14:textId="75DAF38F" w:rsidR="00002271" w:rsidRPr="00EC0545" w:rsidRDefault="00002271" w:rsidP="00002271">
      <w:pPr>
        <w:pStyle w:val="BodyText"/>
        <w:spacing w:before="8"/>
        <w:ind w:firstLine="720"/>
        <w:rPr>
          <w:rFonts w:ascii="Century Gothic" w:hAnsi="Century Gothic"/>
        </w:rPr>
      </w:pPr>
      <w:r w:rsidRPr="00EC0545">
        <w:rPr>
          <w:rFonts w:ascii="Century Gothic" w:hAnsi="Century Gothic"/>
          <w:b/>
          <w:highlight w:val="lightGray"/>
          <w:lang w:bidi="es-ES"/>
        </w:rPr>
        <w:t>[</w:t>
      </w:r>
      <w:r>
        <w:rPr>
          <w:rFonts w:ascii="Century Gothic" w:hAnsi="Century Gothic"/>
          <w:b/>
          <w:highlight w:val="lightGray"/>
          <w:lang w:bidi="es-ES"/>
        </w:rPr>
        <w:t>Núm. i</w:t>
      </w:r>
      <w:r w:rsidRPr="00EC0545">
        <w:rPr>
          <w:rFonts w:ascii="Century Gothic" w:hAnsi="Century Gothic"/>
          <w:b/>
          <w:highlight w:val="lightGray"/>
          <w:lang w:bidi="es-ES"/>
        </w:rPr>
        <w:t>dentificación del caso del programa]</w:t>
      </w:r>
    </w:p>
    <w:p w14:paraId="3A0D3E6B" w14:textId="0CA31D3A" w:rsidR="001B0220" w:rsidRPr="00EC0545" w:rsidRDefault="001B0220" w:rsidP="001B0220">
      <w:pPr>
        <w:pStyle w:val="BodyText"/>
        <w:spacing w:before="8"/>
        <w:rPr>
          <w:rFonts w:ascii="Century Gothic" w:hAnsi="Century Gothic"/>
        </w:rPr>
      </w:pPr>
    </w:p>
    <w:p w14:paraId="62AF4D93" w14:textId="20F9541E" w:rsidR="00002271" w:rsidRDefault="000E1784" w:rsidP="00D43135">
      <w:pPr>
        <w:pStyle w:val="BodyText"/>
        <w:jc w:val="both"/>
        <w:rPr>
          <w:rFonts w:ascii="Century Gothic" w:hAnsi="Century Gothic"/>
          <w:lang w:bidi="es-ES"/>
        </w:rPr>
      </w:pPr>
      <w:r w:rsidRPr="00EC0545">
        <w:rPr>
          <w:rFonts w:ascii="Century Gothic" w:hAnsi="Century Gothic"/>
          <w:lang w:bidi="es-ES"/>
        </w:rPr>
        <w:br/>
      </w:r>
      <w:r w:rsidR="00002271">
        <w:rPr>
          <w:rFonts w:ascii="Century Gothic" w:hAnsi="Century Gothic"/>
          <w:lang w:bidi="es-ES"/>
        </w:rPr>
        <w:t>El [</w:t>
      </w:r>
      <w:r w:rsidR="00002271" w:rsidRPr="00002271">
        <w:rPr>
          <w:rFonts w:ascii="Century Gothic" w:hAnsi="Century Gothic"/>
          <w:highlight w:val="lightGray"/>
          <w:lang w:bidi="es-ES"/>
        </w:rPr>
        <w:t>fecha en que se firmó el Acuerdo de Subrecipiente/Subvención</w:t>
      </w:r>
      <w:r w:rsidR="00002271">
        <w:rPr>
          <w:rFonts w:ascii="Century Gothic" w:hAnsi="Century Gothic"/>
          <w:lang w:bidi="es-ES"/>
        </w:rPr>
        <w:t>], el [</w:t>
      </w:r>
      <w:r w:rsidR="00002271" w:rsidRPr="00002271">
        <w:rPr>
          <w:rFonts w:ascii="Century Gothic" w:hAnsi="Century Gothic"/>
          <w:highlight w:val="lightGray"/>
          <w:lang w:bidi="es-ES"/>
        </w:rPr>
        <w:t xml:space="preserve">Nombre de la </w:t>
      </w:r>
      <w:r w:rsidR="00447F1C">
        <w:rPr>
          <w:rFonts w:ascii="Century Gothic" w:hAnsi="Century Gothic"/>
          <w:highlight w:val="lightGray"/>
          <w:lang w:bidi="es-ES"/>
        </w:rPr>
        <w:t>A</w:t>
      </w:r>
      <w:r w:rsidR="00002271" w:rsidRPr="00002271">
        <w:rPr>
          <w:rFonts w:ascii="Century Gothic" w:hAnsi="Century Gothic"/>
          <w:highlight w:val="lightGray"/>
          <w:lang w:bidi="es-ES"/>
        </w:rPr>
        <w:t>gencia/</w:t>
      </w:r>
      <w:proofErr w:type="spellStart"/>
      <w:r w:rsidR="00002271" w:rsidRPr="00002271">
        <w:rPr>
          <w:rFonts w:ascii="Century Gothic" w:hAnsi="Century Gothic"/>
          <w:highlight w:val="lightGray"/>
          <w:lang w:bidi="es-ES"/>
        </w:rPr>
        <w:t>Subrecipiente</w:t>
      </w:r>
      <w:proofErr w:type="spellEnd"/>
      <w:r w:rsidR="00002271" w:rsidRPr="00002271">
        <w:rPr>
          <w:rFonts w:ascii="Century Gothic" w:hAnsi="Century Gothic"/>
          <w:highlight w:val="lightGray"/>
          <w:lang w:bidi="es-ES"/>
        </w:rPr>
        <w:t xml:space="preserve">/ </w:t>
      </w:r>
      <w:r w:rsidR="00447F1C">
        <w:rPr>
          <w:rFonts w:ascii="Century Gothic" w:hAnsi="Century Gothic"/>
          <w:highlight w:val="lightGray"/>
          <w:lang w:bidi="es-ES"/>
        </w:rPr>
        <w:t>E</w:t>
      </w:r>
      <w:r w:rsidR="00002271" w:rsidRPr="00002271">
        <w:rPr>
          <w:rFonts w:ascii="Century Gothic" w:hAnsi="Century Gothic"/>
          <w:highlight w:val="lightGray"/>
          <w:lang w:bidi="es-ES"/>
        </w:rPr>
        <w:t>ntidad</w:t>
      </w:r>
      <w:r w:rsidR="00002271">
        <w:rPr>
          <w:rFonts w:ascii="Century Gothic" w:hAnsi="Century Gothic"/>
          <w:lang w:bidi="es-ES"/>
        </w:rPr>
        <w:t>] entró en un Acuerdo de [</w:t>
      </w:r>
      <w:r w:rsidR="00002271" w:rsidRPr="00002271">
        <w:rPr>
          <w:rFonts w:ascii="Century Gothic" w:hAnsi="Century Gothic"/>
          <w:highlight w:val="lightGray"/>
          <w:lang w:bidi="es-ES"/>
        </w:rPr>
        <w:t>Subrecipiente/Subvención</w:t>
      </w:r>
      <w:r w:rsidR="00002271">
        <w:rPr>
          <w:rFonts w:ascii="Century Gothic" w:hAnsi="Century Gothic"/>
          <w:lang w:bidi="es-ES"/>
        </w:rPr>
        <w:t>] para recibir asistencia [</w:t>
      </w:r>
      <w:r w:rsidR="00002271" w:rsidRPr="00002271">
        <w:rPr>
          <w:rFonts w:ascii="Century Gothic" w:hAnsi="Century Gothic"/>
          <w:highlight w:val="lightGray"/>
          <w:lang w:bidi="es-ES"/>
        </w:rPr>
        <w:t>CDBG-DR/CDBG-MIT</w:t>
      </w:r>
      <w:r w:rsidR="00002271">
        <w:rPr>
          <w:rFonts w:ascii="Century Gothic" w:hAnsi="Century Gothic"/>
          <w:lang w:bidi="es-ES"/>
        </w:rPr>
        <w:t>] bajo el Programa [</w:t>
      </w:r>
      <w:r w:rsidR="00002271" w:rsidRPr="00002271">
        <w:rPr>
          <w:rFonts w:ascii="Century Gothic" w:hAnsi="Century Gothic"/>
          <w:highlight w:val="lightGray"/>
          <w:lang w:bidi="es-ES"/>
        </w:rPr>
        <w:t>Nombre del Programa</w:t>
      </w:r>
      <w:r w:rsidR="00002271">
        <w:rPr>
          <w:rFonts w:ascii="Century Gothic" w:hAnsi="Century Gothic"/>
          <w:lang w:bidi="es-ES"/>
        </w:rPr>
        <w:t>] (</w:t>
      </w:r>
      <w:r w:rsidR="00002271" w:rsidRPr="00002271">
        <w:rPr>
          <w:rFonts w:ascii="Century Gothic" w:hAnsi="Century Gothic"/>
          <w:b/>
          <w:bCs/>
          <w:lang w:bidi="es-ES"/>
        </w:rPr>
        <w:t>Programa</w:t>
      </w:r>
      <w:r w:rsidR="00002271">
        <w:rPr>
          <w:rFonts w:ascii="Century Gothic" w:hAnsi="Century Gothic"/>
          <w:lang w:bidi="es-ES"/>
        </w:rPr>
        <w:t>), administrado por el Departamento de la Vivienda de Puerto Rico (</w:t>
      </w:r>
      <w:r w:rsidR="00002271" w:rsidRPr="00D43135">
        <w:rPr>
          <w:rFonts w:ascii="Century Gothic" w:hAnsi="Century Gothic"/>
          <w:b/>
          <w:lang w:bidi="es-ES"/>
        </w:rPr>
        <w:t>Vivienda</w:t>
      </w:r>
      <w:r w:rsidR="00002271">
        <w:rPr>
          <w:rFonts w:ascii="Century Gothic" w:hAnsi="Century Gothic"/>
          <w:lang w:bidi="es-ES"/>
        </w:rPr>
        <w:t xml:space="preserve">). </w:t>
      </w:r>
      <w:r w:rsidR="001B0220" w:rsidRPr="00EC0545">
        <w:rPr>
          <w:rFonts w:ascii="Century Gothic" w:hAnsi="Century Gothic"/>
          <w:lang w:bidi="es-ES"/>
        </w:rPr>
        <w:t>Como parte de</w:t>
      </w:r>
      <w:r w:rsidR="00002271">
        <w:rPr>
          <w:rFonts w:ascii="Century Gothic" w:hAnsi="Century Gothic"/>
          <w:lang w:bidi="es-ES"/>
        </w:rPr>
        <w:t>l proyecto y actividades elegibles bajo el Acuerdo de [</w:t>
      </w:r>
      <w:proofErr w:type="spellStart"/>
      <w:r w:rsidR="00002271" w:rsidRPr="00002271">
        <w:rPr>
          <w:rFonts w:ascii="Century Gothic" w:hAnsi="Century Gothic"/>
          <w:highlight w:val="lightGray"/>
          <w:lang w:bidi="es-ES"/>
        </w:rPr>
        <w:t>Subrecipiente</w:t>
      </w:r>
      <w:proofErr w:type="spellEnd"/>
      <w:r w:rsidR="00002271" w:rsidRPr="00002271">
        <w:rPr>
          <w:rFonts w:ascii="Century Gothic" w:hAnsi="Century Gothic"/>
          <w:highlight w:val="lightGray"/>
          <w:lang w:bidi="es-ES"/>
        </w:rPr>
        <w:t>/Subvenció</w:t>
      </w:r>
      <w:r w:rsidR="00002271">
        <w:rPr>
          <w:rFonts w:ascii="Century Gothic" w:hAnsi="Century Gothic"/>
          <w:lang w:bidi="es-ES"/>
        </w:rPr>
        <w:t>n], el [</w:t>
      </w:r>
      <w:r w:rsidR="00002271" w:rsidRPr="00002271">
        <w:rPr>
          <w:rFonts w:ascii="Century Gothic" w:hAnsi="Century Gothic"/>
          <w:highlight w:val="lightGray"/>
          <w:lang w:bidi="es-ES"/>
        </w:rPr>
        <w:t>fecha de la aprobación de la adquisición de la propiedad inmueble</w:t>
      </w:r>
      <w:r w:rsidR="00002271">
        <w:rPr>
          <w:rFonts w:ascii="Century Gothic" w:hAnsi="Century Gothic"/>
          <w:lang w:bidi="es-ES"/>
        </w:rPr>
        <w:t xml:space="preserve">], </w:t>
      </w:r>
      <w:r w:rsidR="00447F1C">
        <w:rPr>
          <w:rFonts w:ascii="Century Gothic" w:hAnsi="Century Gothic"/>
          <w:lang w:bidi="es-ES"/>
        </w:rPr>
        <w:t xml:space="preserve">el Programa aprobó </w:t>
      </w:r>
      <w:r w:rsidR="00002271">
        <w:rPr>
          <w:rFonts w:ascii="Century Gothic" w:hAnsi="Century Gothic"/>
          <w:lang w:bidi="es-ES"/>
        </w:rPr>
        <w:t>la adquisición de propiedad inmueble.</w:t>
      </w:r>
    </w:p>
    <w:p w14:paraId="6C477F2A" w14:textId="77777777" w:rsidR="00002271" w:rsidRDefault="00002271" w:rsidP="00D43135">
      <w:pPr>
        <w:pStyle w:val="BodyText"/>
        <w:jc w:val="both"/>
        <w:rPr>
          <w:rFonts w:ascii="Century Gothic" w:hAnsi="Century Gothic"/>
          <w:lang w:bidi="es-ES"/>
        </w:rPr>
      </w:pPr>
    </w:p>
    <w:p w14:paraId="29F5F19E" w14:textId="205F549E" w:rsidR="00002271" w:rsidRDefault="00002271" w:rsidP="00D43135">
      <w:pPr>
        <w:pStyle w:val="BodyText"/>
        <w:jc w:val="both"/>
        <w:rPr>
          <w:rFonts w:ascii="Century Gothic" w:hAnsi="Century Gothic"/>
          <w:lang w:bidi="es-ES"/>
        </w:rPr>
      </w:pPr>
      <w:r>
        <w:rPr>
          <w:rFonts w:ascii="Century Gothic" w:hAnsi="Century Gothic"/>
          <w:lang w:bidi="es-ES"/>
        </w:rPr>
        <w:t>Como consecuencia, el [</w:t>
      </w:r>
      <w:r w:rsidRPr="00D43135">
        <w:rPr>
          <w:rFonts w:ascii="Century Gothic" w:hAnsi="Century Gothic"/>
          <w:highlight w:val="lightGray"/>
          <w:lang w:bidi="es-ES"/>
        </w:rPr>
        <w:t xml:space="preserve">nombre de la </w:t>
      </w:r>
      <w:r w:rsidR="00447F1C" w:rsidRPr="00D43135">
        <w:rPr>
          <w:rFonts w:ascii="Century Gothic" w:hAnsi="Century Gothic"/>
          <w:highlight w:val="lightGray"/>
          <w:lang w:bidi="es-ES"/>
        </w:rPr>
        <w:t>Agencia/</w:t>
      </w:r>
      <w:proofErr w:type="spellStart"/>
      <w:r w:rsidRPr="00D43135">
        <w:rPr>
          <w:rFonts w:ascii="Century Gothic" w:hAnsi="Century Gothic"/>
          <w:highlight w:val="lightGray"/>
          <w:lang w:bidi="es-ES"/>
        </w:rPr>
        <w:t>Subrecipiente</w:t>
      </w:r>
      <w:proofErr w:type="spellEnd"/>
      <w:r w:rsidR="00447F1C" w:rsidRPr="00D43135">
        <w:rPr>
          <w:rFonts w:ascii="Century Gothic" w:hAnsi="Century Gothic"/>
          <w:highlight w:val="lightGray"/>
          <w:lang w:bidi="es-ES"/>
        </w:rPr>
        <w:t>/Entidad</w:t>
      </w:r>
      <w:r>
        <w:rPr>
          <w:rFonts w:ascii="Century Gothic" w:hAnsi="Century Gothic"/>
          <w:lang w:bidi="es-ES"/>
        </w:rPr>
        <w:t xml:space="preserve">], solicita </w:t>
      </w:r>
      <w:r w:rsidR="00447F1C">
        <w:rPr>
          <w:rFonts w:ascii="Century Gothic" w:hAnsi="Century Gothic"/>
          <w:lang w:bidi="es-ES"/>
        </w:rPr>
        <w:t xml:space="preserve">la </w:t>
      </w:r>
      <w:r>
        <w:rPr>
          <w:rFonts w:ascii="Century Gothic" w:hAnsi="Century Gothic"/>
          <w:lang w:bidi="es-ES"/>
        </w:rPr>
        <w:t xml:space="preserve">aprobación del Programa, </w:t>
      </w:r>
      <w:r w:rsidR="00447F1C">
        <w:rPr>
          <w:rFonts w:ascii="Century Gothic" w:hAnsi="Century Gothic"/>
          <w:lang w:bidi="es-ES"/>
        </w:rPr>
        <w:t xml:space="preserve">para </w:t>
      </w:r>
      <w:r>
        <w:rPr>
          <w:rFonts w:ascii="Century Gothic" w:hAnsi="Century Gothic"/>
          <w:lang w:bidi="es-ES"/>
        </w:rPr>
        <w:t>el desembolso de fondos para la compra de la siguiente propiedad:</w:t>
      </w:r>
    </w:p>
    <w:p w14:paraId="71E69648" w14:textId="77777777" w:rsidR="0021642C" w:rsidRPr="00EC0545" w:rsidRDefault="0021642C" w:rsidP="001A6838">
      <w:pPr>
        <w:pStyle w:val="BodyText"/>
        <w:spacing w:before="8"/>
        <w:jc w:val="both"/>
        <w:rPr>
          <w:rFonts w:ascii="Century Gothic" w:hAnsi="Century Gothic"/>
        </w:rPr>
      </w:pPr>
    </w:p>
    <w:p w14:paraId="3BAD7415" w14:textId="701075D6" w:rsidR="0021642C" w:rsidRDefault="0021642C" w:rsidP="00B068B2">
      <w:pPr>
        <w:pStyle w:val="BodyText"/>
        <w:spacing w:before="8"/>
        <w:ind w:left="720" w:right="720"/>
        <w:jc w:val="both"/>
        <w:rPr>
          <w:rFonts w:ascii="Century Gothic" w:hAnsi="Century Gothic"/>
          <w:lang w:bidi="es-ES"/>
        </w:rPr>
      </w:pPr>
      <w:r w:rsidRPr="00EC0545">
        <w:rPr>
          <w:rFonts w:ascii="Century Gothic" w:hAnsi="Century Gothic"/>
          <w:highlight w:val="lightGray"/>
          <w:lang w:bidi="es-ES"/>
        </w:rPr>
        <w:t xml:space="preserve">[Proporcione </w:t>
      </w:r>
      <w:r w:rsidR="00002271">
        <w:rPr>
          <w:rFonts w:ascii="Century Gothic" w:hAnsi="Century Gothic"/>
          <w:highlight w:val="lightGray"/>
          <w:lang w:bidi="es-ES"/>
        </w:rPr>
        <w:t xml:space="preserve">la información completa </w:t>
      </w:r>
      <w:r w:rsidRPr="00EC0545">
        <w:rPr>
          <w:rFonts w:ascii="Century Gothic" w:hAnsi="Century Gothic"/>
          <w:highlight w:val="lightGray"/>
          <w:lang w:bidi="es-ES"/>
        </w:rPr>
        <w:t>del bien inmueble que se est</w:t>
      </w:r>
      <w:r w:rsidR="00447F1C">
        <w:rPr>
          <w:rFonts w:ascii="Century Gothic" w:hAnsi="Century Gothic"/>
          <w:highlight w:val="lightGray"/>
          <w:lang w:bidi="es-ES"/>
        </w:rPr>
        <w:t>ar</w:t>
      </w:r>
      <w:r w:rsidRPr="00EC0545">
        <w:rPr>
          <w:rFonts w:ascii="Century Gothic" w:hAnsi="Century Gothic"/>
          <w:highlight w:val="lightGray"/>
          <w:lang w:bidi="es-ES"/>
        </w:rPr>
        <w:t>á adquiriendo</w:t>
      </w:r>
      <w:r w:rsidR="00002271">
        <w:rPr>
          <w:rFonts w:ascii="Century Gothic" w:hAnsi="Century Gothic"/>
          <w:highlight w:val="lightGray"/>
          <w:lang w:bidi="es-ES"/>
        </w:rPr>
        <w:t xml:space="preserve">, incluyendo </w:t>
      </w:r>
      <w:r w:rsidR="00002271" w:rsidRPr="00EC0545">
        <w:rPr>
          <w:rFonts w:ascii="Century Gothic" w:hAnsi="Century Gothic"/>
          <w:highlight w:val="lightGray"/>
          <w:lang w:bidi="es-ES"/>
        </w:rPr>
        <w:t>la dirección y el número de catastro</w:t>
      </w:r>
      <w:r w:rsidR="00002271">
        <w:rPr>
          <w:rFonts w:ascii="Century Gothic" w:hAnsi="Century Gothic"/>
          <w:highlight w:val="lightGray"/>
          <w:lang w:bidi="es-ES"/>
        </w:rPr>
        <w:t>.</w:t>
      </w:r>
      <w:r w:rsidRPr="00EC0545">
        <w:rPr>
          <w:rFonts w:ascii="Century Gothic" w:hAnsi="Century Gothic"/>
          <w:highlight w:val="lightGray"/>
          <w:lang w:bidi="es-ES"/>
        </w:rPr>
        <w:t xml:space="preserve"> Incluya solo una</w:t>
      </w:r>
      <w:r w:rsidR="00002271">
        <w:rPr>
          <w:rFonts w:ascii="Century Gothic" w:hAnsi="Century Gothic"/>
          <w:highlight w:val="lightGray"/>
          <w:lang w:bidi="es-ES"/>
        </w:rPr>
        <w:t xml:space="preserve"> (1)</w:t>
      </w:r>
      <w:r w:rsidRPr="00EC0545">
        <w:rPr>
          <w:rFonts w:ascii="Century Gothic" w:hAnsi="Century Gothic"/>
          <w:highlight w:val="lightGray"/>
          <w:lang w:bidi="es-ES"/>
        </w:rPr>
        <w:t xml:space="preserve"> propiedad por memorando</w:t>
      </w:r>
      <w:r w:rsidR="00CD3731" w:rsidRPr="00EC0545">
        <w:rPr>
          <w:rFonts w:ascii="Century Gothic" w:hAnsi="Century Gothic"/>
          <w:highlight w:val="lightGray"/>
          <w:lang w:bidi="es-ES"/>
        </w:rPr>
        <w:t>.</w:t>
      </w:r>
      <w:r w:rsidRPr="00EC0545">
        <w:rPr>
          <w:rFonts w:ascii="Century Gothic" w:hAnsi="Century Gothic"/>
          <w:highlight w:val="lightGray"/>
          <w:lang w:bidi="es-ES"/>
        </w:rPr>
        <w:t>]</w:t>
      </w:r>
    </w:p>
    <w:p w14:paraId="57646B1C" w14:textId="77777777" w:rsidR="005475D7" w:rsidRPr="00EC0545" w:rsidRDefault="005475D7" w:rsidP="00B068B2">
      <w:pPr>
        <w:pStyle w:val="BodyText"/>
        <w:spacing w:before="8"/>
        <w:ind w:left="720" w:right="720"/>
        <w:jc w:val="both"/>
        <w:rPr>
          <w:rFonts w:ascii="Century Gothic" w:hAnsi="Century Gothic"/>
        </w:rPr>
      </w:pPr>
    </w:p>
    <w:p w14:paraId="4E9CC3F2" w14:textId="043E0001" w:rsidR="005475D7" w:rsidRDefault="005475D7" w:rsidP="005475D7">
      <w:pPr>
        <w:pStyle w:val="BodyText"/>
        <w:spacing w:before="8"/>
        <w:jc w:val="both"/>
        <w:rPr>
          <w:rFonts w:ascii="Century Gothic" w:hAnsi="Century Gothic"/>
          <w:lang w:bidi="es-ES"/>
        </w:rPr>
      </w:pPr>
      <w:r>
        <w:rPr>
          <w:rFonts w:ascii="Century Gothic" w:hAnsi="Century Gothic"/>
          <w:lang w:bidi="es-ES"/>
        </w:rPr>
        <w:t>La adquisición d</w:t>
      </w:r>
      <w:r w:rsidRPr="00EC0545">
        <w:rPr>
          <w:rFonts w:ascii="Century Gothic" w:hAnsi="Century Gothic"/>
          <w:lang w:bidi="es-ES"/>
        </w:rPr>
        <w:t>el bien inmueble</w:t>
      </w:r>
      <w:r>
        <w:rPr>
          <w:rFonts w:ascii="Century Gothic" w:hAnsi="Century Gothic"/>
          <w:lang w:bidi="es-ES"/>
        </w:rPr>
        <w:t xml:space="preserve"> descrit</w:t>
      </w:r>
      <w:r w:rsidR="00447F1C">
        <w:rPr>
          <w:rFonts w:ascii="Century Gothic" w:hAnsi="Century Gothic"/>
          <w:lang w:bidi="es-ES"/>
        </w:rPr>
        <w:t>o</w:t>
      </w:r>
      <w:r>
        <w:rPr>
          <w:rFonts w:ascii="Century Gothic" w:hAnsi="Century Gothic"/>
          <w:lang w:bidi="es-ES"/>
        </w:rPr>
        <w:t xml:space="preserve"> arriba se llevará a cabo </w:t>
      </w:r>
      <w:r w:rsidRPr="00EC0545">
        <w:rPr>
          <w:rFonts w:ascii="Century Gothic" w:hAnsi="Century Gothic"/>
          <w:lang w:bidi="es-ES"/>
        </w:rPr>
        <w:t xml:space="preserve">mediante un proceso </w:t>
      </w:r>
      <w:r w:rsidRPr="00EC0545">
        <w:rPr>
          <w:rFonts w:ascii="Century Gothic" w:hAnsi="Century Gothic"/>
          <w:highlight w:val="lightGray"/>
          <w:lang w:bidi="es-ES"/>
        </w:rPr>
        <w:t>[voluntario/involuntario]</w:t>
      </w:r>
      <w:r>
        <w:rPr>
          <w:rFonts w:ascii="Century Gothic" w:hAnsi="Century Gothic"/>
          <w:lang w:bidi="es-ES"/>
        </w:rPr>
        <w:t xml:space="preserve">. </w:t>
      </w:r>
    </w:p>
    <w:p w14:paraId="04E9FA1D" w14:textId="77777777" w:rsidR="001B0220" w:rsidRDefault="001B0220" w:rsidP="001A6838">
      <w:pPr>
        <w:pStyle w:val="BodyText"/>
        <w:spacing w:before="8"/>
        <w:jc w:val="both"/>
        <w:rPr>
          <w:rFonts w:ascii="Century Gothic" w:hAnsi="Century Gothic"/>
        </w:rPr>
      </w:pPr>
    </w:p>
    <w:p w14:paraId="24907033" w14:textId="6A10C15E" w:rsidR="005475D7" w:rsidRDefault="005475D7" w:rsidP="001A6838">
      <w:pPr>
        <w:pStyle w:val="BodyText"/>
        <w:spacing w:before="8"/>
        <w:jc w:val="both"/>
        <w:rPr>
          <w:rFonts w:ascii="Century Gothic" w:hAnsi="Century Gothic"/>
        </w:rPr>
      </w:pPr>
      <w:r w:rsidRPr="00D43135">
        <w:rPr>
          <w:rFonts w:ascii="Century Gothic" w:hAnsi="Century Gothic"/>
          <w:highlight w:val="lightGray"/>
        </w:rPr>
        <w:t>[</w:t>
      </w:r>
      <w:r w:rsidR="00A54568" w:rsidRPr="00D43135">
        <w:rPr>
          <w:rFonts w:ascii="Century Gothic" w:hAnsi="Century Gothic"/>
          <w:b/>
          <w:highlight w:val="lightGray"/>
        </w:rPr>
        <w:t>SÓLO</w:t>
      </w:r>
      <w:r w:rsidR="00A54568" w:rsidRPr="00D43135">
        <w:rPr>
          <w:rFonts w:ascii="Century Gothic" w:hAnsi="Century Gothic"/>
          <w:highlight w:val="lightGray"/>
        </w:rPr>
        <w:t xml:space="preserve"> </w:t>
      </w:r>
      <w:r w:rsidRPr="00A54568">
        <w:rPr>
          <w:rFonts w:ascii="Century Gothic" w:hAnsi="Century Gothic"/>
          <w:b/>
          <w:bCs/>
          <w:highlight w:val="lightGray"/>
        </w:rPr>
        <w:t>P</w:t>
      </w:r>
      <w:r w:rsidRPr="00D816E9">
        <w:rPr>
          <w:rFonts w:ascii="Century Gothic" w:hAnsi="Century Gothic"/>
          <w:b/>
          <w:bCs/>
          <w:highlight w:val="lightGray"/>
        </w:rPr>
        <w:t>ARA PROPÓSITOS INFORMATIVOS</w:t>
      </w:r>
      <w:r w:rsidRPr="00D816E9">
        <w:rPr>
          <w:rFonts w:ascii="Century Gothic" w:hAnsi="Century Gothic"/>
          <w:highlight w:val="lightGray"/>
        </w:rPr>
        <w:t xml:space="preserve">:  Las adquisiciones voluntarias son aquellas que se llevan a cabo sin amenaza o uso de expropiación forzosa. Los principales pasos y requisitos para las adquisiciones voluntarias pueden encontrarse en la Guía de Asistencia Uniforme de Reubicación y Plan </w:t>
      </w:r>
      <w:r w:rsidR="00026502" w:rsidRPr="00D816E9">
        <w:rPr>
          <w:rFonts w:ascii="Century Gothic" w:hAnsi="Century Gothic"/>
          <w:highlight w:val="lightGray"/>
        </w:rPr>
        <w:t xml:space="preserve">de Anti-desplazamiento </w:t>
      </w:r>
      <w:r w:rsidRPr="00D816E9">
        <w:rPr>
          <w:rFonts w:ascii="Century Gothic" w:hAnsi="Century Gothic"/>
          <w:highlight w:val="lightGray"/>
        </w:rPr>
        <w:t xml:space="preserve">Residencial </w:t>
      </w:r>
      <w:r w:rsidR="00026502" w:rsidRPr="00D816E9">
        <w:rPr>
          <w:rFonts w:ascii="Century Gothic" w:hAnsi="Century Gothic"/>
          <w:highlight w:val="lightGray"/>
        </w:rPr>
        <w:t>y Asistencia para</w:t>
      </w:r>
      <w:r w:rsidRPr="00D816E9">
        <w:rPr>
          <w:rFonts w:ascii="Century Gothic" w:hAnsi="Century Gothic"/>
          <w:highlight w:val="lightGray"/>
        </w:rPr>
        <w:t xml:space="preserve"> Reubicación</w:t>
      </w:r>
      <w:r w:rsidR="00026502" w:rsidRPr="00D816E9">
        <w:rPr>
          <w:rFonts w:ascii="Century Gothic" w:hAnsi="Century Gothic"/>
          <w:highlight w:val="lightGray"/>
        </w:rPr>
        <w:t xml:space="preserve"> </w:t>
      </w:r>
      <w:r w:rsidRPr="00D816E9">
        <w:rPr>
          <w:rFonts w:ascii="Century Gothic" w:hAnsi="Century Gothic"/>
          <w:highlight w:val="lightGray"/>
        </w:rPr>
        <w:t>(</w:t>
      </w:r>
      <w:r w:rsidRPr="00D43135">
        <w:rPr>
          <w:rFonts w:ascii="Century Gothic" w:hAnsi="Century Gothic"/>
          <w:b/>
          <w:highlight w:val="lightGray"/>
        </w:rPr>
        <w:t>Guía URA &amp; ADP</w:t>
      </w:r>
      <w:r w:rsidRPr="00D816E9">
        <w:rPr>
          <w:rFonts w:ascii="Century Gothic" w:hAnsi="Century Gothic"/>
          <w:highlight w:val="lightGray"/>
        </w:rPr>
        <w:t>)</w:t>
      </w:r>
      <w:r w:rsidR="00026502" w:rsidRPr="00D816E9">
        <w:rPr>
          <w:rStyle w:val="FootnoteReference"/>
          <w:rFonts w:ascii="Century Gothic" w:hAnsi="Century Gothic"/>
          <w:highlight w:val="lightGray"/>
        </w:rPr>
        <w:footnoteReference w:id="1"/>
      </w:r>
      <w:r w:rsidR="00026502" w:rsidRPr="00D816E9">
        <w:rPr>
          <w:rFonts w:ascii="Century Gothic" w:hAnsi="Century Gothic"/>
          <w:highlight w:val="lightGray"/>
        </w:rPr>
        <w:t>,</w:t>
      </w:r>
      <w:r w:rsidRPr="00D816E9">
        <w:rPr>
          <w:rFonts w:ascii="Century Gothic" w:hAnsi="Century Gothic"/>
          <w:highlight w:val="lightGray"/>
        </w:rPr>
        <w:t xml:space="preserve"> en 49 C.F.R. Parte 24, Subparte B; y en 49 C.F.R. §24.101(b)(1) a (5). Las adquisiciones involuntarias no cumplen los requisitos </w:t>
      </w:r>
      <w:r w:rsidR="00D816E9" w:rsidRPr="00D816E9">
        <w:rPr>
          <w:rFonts w:ascii="Century Gothic" w:hAnsi="Century Gothic"/>
          <w:highlight w:val="lightGray"/>
        </w:rPr>
        <w:t xml:space="preserve">de las </w:t>
      </w:r>
      <w:r w:rsidRPr="00D816E9">
        <w:rPr>
          <w:rFonts w:ascii="Century Gothic" w:hAnsi="Century Gothic"/>
          <w:highlight w:val="lightGray"/>
        </w:rPr>
        <w:t>voluntari</w:t>
      </w:r>
      <w:r w:rsidR="00D816E9" w:rsidRPr="00D816E9">
        <w:rPr>
          <w:rFonts w:ascii="Century Gothic" w:hAnsi="Century Gothic"/>
          <w:highlight w:val="lightGray"/>
        </w:rPr>
        <w:t>as</w:t>
      </w:r>
      <w:r w:rsidRPr="00D816E9">
        <w:rPr>
          <w:rFonts w:ascii="Century Gothic" w:hAnsi="Century Gothic"/>
          <w:highlight w:val="lightGray"/>
        </w:rPr>
        <w:t xml:space="preserve"> y se inician con la amenaza o el uso </w:t>
      </w:r>
      <w:r w:rsidR="00D816E9" w:rsidRPr="00D816E9">
        <w:rPr>
          <w:rFonts w:ascii="Century Gothic" w:hAnsi="Century Gothic"/>
          <w:highlight w:val="lightGray"/>
        </w:rPr>
        <w:t>de la expropiación forzosa</w:t>
      </w:r>
      <w:r w:rsidRPr="00D816E9">
        <w:rPr>
          <w:rFonts w:ascii="Century Gothic" w:hAnsi="Century Gothic"/>
          <w:highlight w:val="lightGray"/>
        </w:rPr>
        <w:t xml:space="preserve">. Las adquisiciones involuntarias están sujetas a las disposiciones de 49 C.F.R. Parte 24, Subparte B. El ejercicio del poder de </w:t>
      </w:r>
      <w:r w:rsidR="00D816E9" w:rsidRPr="00D816E9">
        <w:rPr>
          <w:rFonts w:ascii="Century Gothic" w:hAnsi="Century Gothic"/>
          <w:highlight w:val="lightGray"/>
        </w:rPr>
        <w:t xml:space="preserve">expropiación forzosa </w:t>
      </w:r>
      <w:r w:rsidRPr="00D816E9">
        <w:rPr>
          <w:rFonts w:ascii="Century Gothic" w:hAnsi="Century Gothic"/>
          <w:highlight w:val="lightGray"/>
        </w:rPr>
        <w:t>requiere que un proyecto de desplazamiento sirva a un uso público. Consulte la normativa aplicable y la Guía URA &amp; ADP para obtener información y requisitos adicionales</w:t>
      </w:r>
      <w:r w:rsidR="00D816E9" w:rsidRPr="00D816E9">
        <w:rPr>
          <w:rFonts w:ascii="Century Gothic" w:hAnsi="Century Gothic"/>
          <w:highlight w:val="lightGray"/>
        </w:rPr>
        <w:t>.</w:t>
      </w:r>
      <w:r w:rsidRPr="005475D7">
        <w:rPr>
          <w:rFonts w:ascii="Century Gothic" w:hAnsi="Century Gothic"/>
        </w:rPr>
        <w:t>]</w:t>
      </w:r>
    </w:p>
    <w:p w14:paraId="138DA042" w14:textId="77777777" w:rsidR="00D816E9" w:rsidRDefault="00D816E9" w:rsidP="001A6838">
      <w:pPr>
        <w:pStyle w:val="BodyText"/>
        <w:spacing w:before="8"/>
        <w:jc w:val="both"/>
        <w:rPr>
          <w:rFonts w:ascii="Century Gothic" w:hAnsi="Century Gothic"/>
        </w:rPr>
      </w:pPr>
    </w:p>
    <w:p w14:paraId="6F512EB1" w14:textId="1FD7287D" w:rsidR="00D816E9" w:rsidRDefault="00D816E9" w:rsidP="001A6838">
      <w:pPr>
        <w:pStyle w:val="BodyText"/>
        <w:spacing w:before="8"/>
        <w:jc w:val="both"/>
        <w:rPr>
          <w:rFonts w:ascii="Century Gothic" w:hAnsi="Century Gothic"/>
        </w:rPr>
      </w:pPr>
      <w:r w:rsidRPr="00D816E9">
        <w:rPr>
          <w:rFonts w:ascii="Century Gothic" w:hAnsi="Century Gothic"/>
        </w:rPr>
        <w:t xml:space="preserve">Como parte de los requisitos del paquete de facturas y de la documentación necesaria para la aprobación del desembolso de fondos para la adquisición de propiedades, hemos </w:t>
      </w:r>
      <w:r w:rsidR="00EA2916" w:rsidRPr="00D816E9">
        <w:rPr>
          <w:rFonts w:ascii="Century Gothic" w:hAnsi="Century Gothic"/>
        </w:rPr>
        <w:t>c</w:t>
      </w:r>
      <w:r w:rsidR="00EA2916">
        <w:rPr>
          <w:rFonts w:ascii="Century Gothic" w:hAnsi="Century Gothic"/>
        </w:rPr>
        <w:t>omple</w:t>
      </w:r>
      <w:r w:rsidR="00EA2916" w:rsidRPr="00D816E9">
        <w:rPr>
          <w:rFonts w:ascii="Century Gothic" w:hAnsi="Century Gothic"/>
        </w:rPr>
        <w:t xml:space="preserve">tado </w:t>
      </w:r>
      <w:r w:rsidRPr="00D816E9">
        <w:rPr>
          <w:rFonts w:ascii="Century Gothic" w:hAnsi="Century Gothic"/>
        </w:rPr>
        <w:t xml:space="preserve">y aprobado todas las </w:t>
      </w:r>
      <w:r>
        <w:rPr>
          <w:rFonts w:ascii="Century Gothic" w:hAnsi="Century Gothic"/>
        </w:rPr>
        <w:t>Li</w:t>
      </w:r>
      <w:r w:rsidRPr="00D816E9">
        <w:rPr>
          <w:rFonts w:ascii="Century Gothic" w:hAnsi="Century Gothic"/>
        </w:rPr>
        <w:t xml:space="preserve">stas de </w:t>
      </w:r>
      <w:r>
        <w:rPr>
          <w:rFonts w:ascii="Century Gothic" w:hAnsi="Century Gothic"/>
        </w:rPr>
        <w:t>C</w:t>
      </w:r>
      <w:r w:rsidRPr="00D816E9">
        <w:rPr>
          <w:rFonts w:ascii="Century Gothic" w:hAnsi="Century Gothic"/>
        </w:rPr>
        <w:t>o</w:t>
      </w:r>
      <w:r>
        <w:rPr>
          <w:rFonts w:ascii="Century Gothic" w:hAnsi="Century Gothic"/>
        </w:rPr>
        <w:t>tejo</w:t>
      </w:r>
      <w:r w:rsidRPr="00D816E9">
        <w:rPr>
          <w:rFonts w:ascii="Century Gothic" w:hAnsi="Century Gothic"/>
        </w:rPr>
        <w:t xml:space="preserve"> de </w:t>
      </w:r>
      <w:r>
        <w:rPr>
          <w:rFonts w:ascii="Century Gothic" w:hAnsi="Century Gothic"/>
        </w:rPr>
        <w:t>C</w:t>
      </w:r>
      <w:r w:rsidRPr="00D816E9">
        <w:rPr>
          <w:rFonts w:ascii="Century Gothic" w:hAnsi="Century Gothic"/>
        </w:rPr>
        <w:t xml:space="preserve">umplimiento </w:t>
      </w:r>
      <w:r>
        <w:rPr>
          <w:rFonts w:ascii="Century Gothic" w:hAnsi="Century Gothic"/>
        </w:rPr>
        <w:t>con</w:t>
      </w:r>
      <w:r w:rsidRPr="00D816E9">
        <w:rPr>
          <w:rFonts w:ascii="Century Gothic" w:hAnsi="Century Gothic"/>
        </w:rPr>
        <w:t xml:space="preserve"> URA aplicables, incluida la lista de co</w:t>
      </w:r>
      <w:r>
        <w:rPr>
          <w:rFonts w:ascii="Century Gothic" w:hAnsi="Century Gothic"/>
        </w:rPr>
        <w:t>tejo</w:t>
      </w:r>
      <w:r w:rsidRPr="00D816E9">
        <w:rPr>
          <w:rFonts w:ascii="Century Gothic" w:hAnsi="Century Gothic"/>
        </w:rPr>
        <w:t xml:space="preserve"> de facturación para adquisiciones (</w:t>
      </w:r>
      <w:r w:rsidRPr="00D816E9">
        <w:rPr>
          <w:rFonts w:ascii="Century Gothic" w:hAnsi="Century Gothic"/>
          <w:b/>
          <w:bCs/>
        </w:rPr>
        <w:t>Lista de Cotejo URA #6</w:t>
      </w:r>
      <w:r>
        <w:rPr>
          <w:rFonts w:ascii="Century Gothic" w:hAnsi="Century Gothic"/>
        </w:rPr>
        <w:t xml:space="preserve">), según exigido por el </w:t>
      </w:r>
      <w:r w:rsidRPr="00D816E9">
        <w:rPr>
          <w:rFonts w:ascii="Century Gothic" w:hAnsi="Century Gothic"/>
        </w:rPr>
        <w:t xml:space="preserve">Programa. Además, se </w:t>
      </w:r>
      <w:r>
        <w:rPr>
          <w:rFonts w:ascii="Century Gothic" w:hAnsi="Century Gothic"/>
        </w:rPr>
        <w:t xml:space="preserve">acompaña </w:t>
      </w:r>
      <w:r w:rsidRPr="00D816E9">
        <w:rPr>
          <w:rFonts w:ascii="Century Gothic" w:hAnsi="Century Gothic"/>
        </w:rPr>
        <w:t xml:space="preserve">este memorando </w:t>
      </w:r>
      <w:r>
        <w:rPr>
          <w:rFonts w:ascii="Century Gothic" w:hAnsi="Century Gothic"/>
        </w:rPr>
        <w:t xml:space="preserve">con </w:t>
      </w:r>
      <w:r w:rsidRPr="00D816E9">
        <w:rPr>
          <w:rFonts w:ascii="Century Gothic" w:hAnsi="Century Gothic"/>
        </w:rPr>
        <w:t>los siguientes documentos:</w:t>
      </w:r>
    </w:p>
    <w:p w14:paraId="36E02A97" w14:textId="77777777" w:rsidR="00D816E9" w:rsidRDefault="00D816E9" w:rsidP="001A6838">
      <w:pPr>
        <w:pStyle w:val="BodyText"/>
        <w:spacing w:before="8"/>
        <w:jc w:val="both"/>
        <w:rPr>
          <w:rFonts w:ascii="Century Gothic" w:hAnsi="Century Gothic"/>
        </w:rPr>
      </w:pPr>
    </w:p>
    <w:p w14:paraId="1902D39F" w14:textId="5CFBFCA5" w:rsidR="006333A5" w:rsidRPr="00D43135" w:rsidRDefault="006333A5" w:rsidP="006333A5">
      <w:pPr>
        <w:pStyle w:val="BodyText"/>
        <w:spacing w:before="8"/>
        <w:jc w:val="both"/>
        <w:rPr>
          <w:rFonts w:ascii="Century Gothic" w:hAnsi="Century Gothic"/>
          <w:highlight w:val="lightGray"/>
        </w:rPr>
      </w:pPr>
      <w:r w:rsidRPr="006333A5">
        <w:rPr>
          <w:rFonts w:ascii="Century Gothic" w:hAnsi="Century Gothic"/>
        </w:rPr>
        <w:t>[</w:t>
      </w:r>
      <w:r w:rsidRPr="00D43135">
        <w:rPr>
          <w:rFonts w:ascii="Century Gothic" w:hAnsi="Century Gothic"/>
          <w:highlight w:val="lightGray"/>
        </w:rPr>
        <w:t>Los documentos que se anejarán son los siguientes:</w:t>
      </w:r>
    </w:p>
    <w:p w14:paraId="1C7D2E51" w14:textId="52F95664"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Lista de Cotejo del Cumplimiento con URA #1: Notificaciones a propietario</w:t>
      </w:r>
      <w:r w:rsidR="00EA2916">
        <w:rPr>
          <w:rFonts w:ascii="Century Gothic" w:hAnsi="Century Gothic"/>
          <w:highlight w:val="lightGray"/>
        </w:rPr>
        <w:t>s</w:t>
      </w:r>
      <w:r w:rsidRPr="00D43135">
        <w:rPr>
          <w:rFonts w:ascii="Century Gothic" w:hAnsi="Century Gothic"/>
          <w:highlight w:val="lightGray"/>
        </w:rPr>
        <w:t xml:space="preserve"> </w:t>
      </w:r>
      <w:r w:rsidR="00EA2916">
        <w:rPr>
          <w:rFonts w:ascii="Century Gothic" w:hAnsi="Century Gothic"/>
          <w:highlight w:val="lightGray"/>
        </w:rPr>
        <w:t>e</w:t>
      </w:r>
      <w:r w:rsidRPr="00D43135">
        <w:rPr>
          <w:rFonts w:ascii="Century Gothic" w:hAnsi="Century Gothic"/>
          <w:highlight w:val="lightGray"/>
        </w:rPr>
        <w:t xml:space="preserve"> inquilinos</w:t>
      </w:r>
    </w:p>
    <w:p w14:paraId="09668BB5" w14:textId="509155B6"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 xml:space="preserve">Lista de Cotejo del Cumplimiento con URA #2: Tasación de </w:t>
      </w:r>
      <w:r w:rsidR="00EB71EB">
        <w:rPr>
          <w:rFonts w:ascii="Century Gothic" w:hAnsi="Century Gothic"/>
          <w:highlight w:val="lightGray"/>
        </w:rPr>
        <w:t xml:space="preserve">la propiedad </w:t>
      </w:r>
      <w:r w:rsidRPr="00D43135">
        <w:rPr>
          <w:rFonts w:ascii="Century Gothic" w:hAnsi="Century Gothic"/>
          <w:highlight w:val="lightGray"/>
        </w:rPr>
        <w:t>inmueble que se</w:t>
      </w:r>
      <w:r w:rsidR="00EB71EB">
        <w:rPr>
          <w:rFonts w:ascii="Century Gothic" w:hAnsi="Century Gothic"/>
          <w:highlight w:val="lightGray"/>
        </w:rPr>
        <w:t>rá</w:t>
      </w:r>
      <w:r w:rsidRPr="00D43135">
        <w:rPr>
          <w:rFonts w:ascii="Century Gothic" w:hAnsi="Century Gothic"/>
          <w:highlight w:val="lightGray"/>
        </w:rPr>
        <w:t xml:space="preserve">  adquiri</w:t>
      </w:r>
      <w:r w:rsidR="00EB71EB">
        <w:rPr>
          <w:rFonts w:ascii="Century Gothic" w:hAnsi="Century Gothic"/>
          <w:highlight w:val="lightGray"/>
        </w:rPr>
        <w:t>da</w:t>
      </w:r>
    </w:p>
    <w:p w14:paraId="3E0A4DA9" w14:textId="110B9596"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Lista de Cotejo del Cumplimiento con URA #3: Donaci</w:t>
      </w:r>
      <w:r w:rsidR="00EB71EB">
        <w:rPr>
          <w:rFonts w:ascii="Century Gothic" w:hAnsi="Century Gothic"/>
          <w:highlight w:val="lightGray"/>
        </w:rPr>
        <w:t>ones</w:t>
      </w:r>
      <w:r w:rsidRPr="00D43135">
        <w:rPr>
          <w:rFonts w:ascii="Century Gothic" w:hAnsi="Century Gothic"/>
          <w:highlight w:val="lightGray"/>
        </w:rPr>
        <w:t xml:space="preserve"> de </w:t>
      </w:r>
      <w:r w:rsidR="00EB71EB">
        <w:rPr>
          <w:rFonts w:ascii="Century Gothic" w:hAnsi="Century Gothic"/>
          <w:highlight w:val="lightGray"/>
        </w:rPr>
        <w:t>propiedad</w:t>
      </w:r>
      <w:r w:rsidRPr="00D43135">
        <w:rPr>
          <w:rFonts w:ascii="Century Gothic" w:hAnsi="Century Gothic"/>
          <w:highlight w:val="lightGray"/>
        </w:rPr>
        <w:t xml:space="preserve"> </w:t>
      </w:r>
      <w:r w:rsidR="00852A19" w:rsidRPr="00D43135">
        <w:rPr>
          <w:rFonts w:ascii="Century Gothic" w:hAnsi="Century Gothic"/>
          <w:highlight w:val="lightGray"/>
        </w:rPr>
        <w:t>inmueble (</w:t>
      </w:r>
      <w:r w:rsidRPr="00D43135">
        <w:rPr>
          <w:rFonts w:ascii="Century Gothic" w:hAnsi="Century Gothic"/>
          <w:highlight w:val="lightGray"/>
        </w:rPr>
        <w:t>si procede)</w:t>
      </w:r>
    </w:p>
    <w:p w14:paraId="2C521AFF" w14:textId="57A41619"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 xml:space="preserve">Lista de Cotejo del Cumplimiento con URA # 4: Plan de </w:t>
      </w:r>
      <w:r w:rsidR="00EB71EB">
        <w:rPr>
          <w:rFonts w:ascii="Century Gothic" w:hAnsi="Century Gothic"/>
          <w:highlight w:val="lightGray"/>
        </w:rPr>
        <w:t>R</w:t>
      </w:r>
      <w:r w:rsidRPr="00D43135">
        <w:rPr>
          <w:rFonts w:ascii="Century Gothic" w:hAnsi="Century Gothic"/>
          <w:highlight w:val="lightGray"/>
        </w:rPr>
        <w:t>eubicación (si procede)</w:t>
      </w:r>
    </w:p>
    <w:p w14:paraId="64E270DE" w14:textId="3F0BCA6E"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 xml:space="preserve">Lista de Cotejo del Cumplimiento con URA #5: Negociaciones para </w:t>
      </w:r>
      <w:r w:rsidR="00EB71EB">
        <w:rPr>
          <w:rFonts w:ascii="Century Gothic" w:hAnsi="Century Gothic"/>
          <w:highlight w:val="lightGray"/>
        </w:rPr>
        <w:t xml:space="preserve">la </w:t>
      </w:r>
      <w:r w:rsidRPr="00D43135">
        <w:rPr>
          <w:rFonts w:ascii="Century Gothic" w:hAnsi="Century Gothic"/>
          <w:highlight w:val="lightGray"/>
        </w:rPr>
        <w:t>adquisici</w:t>
      </w:r>
      <w:r w:rsidR="00EB71EB">
        <w:rPr>
          <w:rFonts w:ascii="Century Gothic" w:hAnsi="Century Gothic"/>
          <w:highlight w:val="lightGray"/>
        </w:rPr>
        <w:t>ó</w:t>
      </w:r>
      <w:r w:rsidRPr="00D43135">
        <w:rPr>
          <w:rFonts w:ascii="Century Gothic" w:hAnsi="Century Gothic"/>
          <w:highlight w:val="lightGray"/>
        </w:rPr>
        <w:t xml:space="preserve">n </w:t>
      </w:r>
      <w:r w:rsidR="00EB71EB">
        <w:rPr>
          <w:rFonts w:ascii="Century Gothic" w:hAnsi="Century Gothic"/>
          <w:highlight w:val="lightGray"/>
        </w:rPr>
        <w:t>de Propiedades</w:t>
      </w:r>
    </w:p>
    <w:p w14:paraId="5E10D262" w14:textId="4261C55D"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 xml:space="preserve">Lista de Cotejo del Cumplimiento con URA #6: Facturación </w:t>
      </w:r>
      <w:r w:rsidR="00EB71EB">
        <w:rPr>
          <w:rFonts w:ascii="Century Gothic" w:hAnsi="Century Gothic"/>
          <w:highlight w:val="lightGray"/>
        </w:rPr>
        <w:t>para</w:t>
      </w:r>
      <w:r w:rsidRPr="00D43135">
        <w:rPr>
          <w:rFonts w:ascii="Century Gothic" w:hAnsi="Century Gothic"/>
          <w:highlight w:val="lightGray"/>
        </w:rPr>
        <w:t xml:space="preserve"> adquisiciones </w:t>
      </w:r>
    </w:p>
    <w:p w14:paraId="4663DC5B" w14:textId="3BDD4DBD"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 xml:space="preserve">Copia completa del </w:t>
      </w:r>
      <w:r w:rsidR="00EB71EB">
        <w:rPr>
          <w:rFonts w:ascii="Century Gothic" w:hAnsi="Century Gothic"/>
          <w:highlight w:val="lightGray"/>
        </w:rPr>
        <w:t xml:space="preserve">Reporte </w:t>
      </w:r>
      <w:r w:rsidRPr="00D43135">
        <w:rPr>
          <w:rFonts w:ascii="Century Gothic" w:hAnsi="Century Gothic"/>
          <w:highlight w:val="lightGray"/>
        </w:rPr>
        <w:t>de tasación de la propiedad revisado y aprobado</w:t>
      </w:r>
    </w:p>
    <w:p w14:paraId="00097856" w14:textId="6FBA69E2"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Copia del plano de mensura (si procede)</w:t>
      </w:r>
    </w:p>
    <w:p w14:paraId="065A3697" w14:textId="5D7D0267"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Copia del estudio de titularidad o certificación registral</w:t>
      </w:r>
    </w:p>
    <w:p w14:paraId="4DECECF0" w14:textId="43432327"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Si se adquiere en proceso voluntario, copia de la Notificación de Adquisición Voluntaria y evidencia de envío</w:t>
      </w:r>
    </w:p>
    <w:p w14:paraId="154A8F85" w14:textId="33FC140B"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 xml:space="preserve">Contrato de compraventa firmado con el precio de venta real y </w:t>
      </w:r>
      <w:r w:rsidR="00EB71EB">
        <w:rPr>
          <w:rFonts w:ascii="Century Gothic" w:hAnsi="Century Gothic"/>
          <w:highlight w:val="lightGray"/>
        </w:rPr>
        <w:t>los términos</w:t>
      </w:r>
      <w:r w:rsidRPr="00D43135">
        <w:rPr>
          <w:rFonts w:ascii="Century Gothic" w:hAnsi="Century Gothic"/>
          <w:highlight w:val="lightGray"/>
        </w:rPr>
        <w:t xml:space="preserve"> de adquisición de la propiedad</w:t>
      </w:r>
    </w:p>
    <w:p w14:paraId="6870AAE5" w14:textId="0A681D5D"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 xml:space="preserve">Si el precio de compra es superior al valor de tasación, se requiere un Memorando de Acuerdo Administrativo. </w:t>
      </w:r>
    </w:p>
    <w:p w14:paraId="4558FB44" w14:textId="543A9B27" w:rsidR="006333A5" w:rsidRPr="00D43135" w:rsidRDefault="006333A5" w:rsidP="00D43135">
      <w:pPr>
        <w:pStyle w:val="BodyText"/>
        <w:numPr>
          <w:ilvl w:val="0"/>
          <w:numId w:val="2"/>
        </w:numPr>
        <w:spacing w:before="8"/>
        <w:jc w:val="both"/>
        <w:rPr>
          <w:rFonts w:ascii="Century Gothic" w:hAnsi="Century Gothic"/>
          <w:highlight w:val="lightGray"/>
        </w:rPr>
      </w:pPr>
      <w:r w:rsidRPr="00D43135">
        <w:rPr>
          <w:rFonts w:ascii="Century Gothic" w:hAnsi="Century Gothic"/>
          <w:highlight w:val="lightGray"/>
        </w:rPr>
        <w:t>Acuerdo de opción (si se ejecuta antes de la finalización del estudio medioambiental)</w:t>
      </w:r>
    </w:p>
    <w:p w14:paraId="4162BE37" w14:textId="6AE71DD9" w:rsidR="006333A5" w:rsidRDefault="006333A5" w:rsidP="00D43135">
      <w:pPr>
        <w:pStyle w:val="BodyText"/>
        <w:numPr>
          <w:ilvl w:val="0"/>
          <w:numId w:val="2"/>
        </w:numPr>
        <w:spacing w:before="8"/>
        <w:jc w:val="both"/>
        <w:rPr>
          <w:rFonts w:ascii="Century Gothic" w:hAnsi="Century Gothic"/>
        </w:rPr>
      </w:pPr>
      <w:r w:rsidRPr="00D43135">
        <w:rPr>
          <w:rFonts w:ascii="Century Gothic" w:hAnsi="Century Gothic"/>
          <w:highlight w:val="lightGray"/>
        </w:rPr>
        <w:t>Resolución municipal oficial o resolución corporativa por la que se autoriza la adquisición del bien inmueble para el proyecto específico</w:t>
      </w:r>
      <w:r w:rsidRPr="006333A5">
        <w:rPr>
          <w:rFonts w:ascii="Century Gothic" w:hAnsi="Century Gothic"/>
        </w:rPr>
        <w:t>].</w:t>
      </w:r>
    </w:p>
    <w:p w14:paraId="2D2AF151" w14:textId="77777777" w:rsidR="006333A5" w:rsidRDefault="006333A5" w:rsidP="00D6594F">
      <w:pPr>
        <w:pStyle w:val="BodyText"/>
        <w:spacing w:before="8"/>
        <w:jc w:val="both"/>
        <w:rPr>
          <w:rFonts w:ascii="Century Gothic" w:hAnsi="Century Gothic"/>
          <w:lang w:bidi="es-ES"/>
        </w:rPr>
      </w:pPr>
    </w:p>
    <w:p w14:paraId="7BDC35FA" w14:textId="7213FFCB" w:rsidR="006333A5" w:rsidRDefault="006333A5" w:rsidP="00D6594F">
      <w:pPr>
        <w:pStyle w:val="BodyText"/>
        <w:spacing w:before="8"/>
        <w:jc w:val="both"/>
        <w:rPr>
          <w:rFonts w:ascii="Century Gothic" w:hAnsi="Century Gothic"/>
          <w:lang w:bidi="es-ES"/>
        </w:rPr>
      </w:pPr>
      <w:r w:rsidRPr="006333A5">
        <w:rPr>
          <w:rFonts w:ascii="Century Gothic" w:hAnsi="Century Gothic"/>
          <w:lang w:bidi="es-ES"/>
        </w:rPr>
        <w:t>Según exige el 24 C.F.R. Parte 58, el funcionario encargado de la revisión ambiental ha realizado una revisión ambiental adecuada a la naturaleza y el alcance del proyecto para el bien inmueble descrito anteriormente, al nivel aplicable de revisión ambiental. La revisión</w:t>
      </w:r>
      <w:r>
        <w:rPr>
          <w:rFonts w:ascii="Century Gothic" w:hAnsi="Century Gothic"/>
          <w:lang w:bidi="es-ES"/>
        </w:rPr>
        <w:t xml:space="preserve"> </w:t>
      </w:r>
      <w:r w:rsidRPr="006333A5">
        <w:rPr>
          <w:rFonts w:ascii="Century Gothic" w:hAnsi="Century Gothic"/>
          <w:lang w:bidi="es-ES"/>
        </w:rPr>
        <w:t>ambiental fue aprobada el [</w:t>
      </w:r>
      <w:r w:rsidRPr="00D43135">
        <w:rPr>
          <w:rFonts w:ascii="Century Gothic" w:hAnsi="Century Gothic"/>
          <w:highlight w:val="lightGray"/>
          <w:lang w:bidi="es-ES"/>
        </w:rPr>
        <w:t>fecha de aprobación de la revisión ambiental</w:t>
      </w:r>
      <w:r w:rsidRPr="006333A5">
        <w:rPr>
          <w:rFonts w:ascii="Century Gothic" w:hAnsi="Century Gothic"/>
          <w:lang w:bidi="es-ES"/>
        </w:rPr>
        <w:t>].</w:t>
      </w:r>
    </w:p>
    <w:p w14:paraId="71DDE32A" w14:textId="77777777" w:rsidR="006333A5" w:rsidRDefault="006333A5" w:rsidP="00D6594F">
      <w:pPr>
        <w:pStyle w:val="BodyText"/>
        <w:spacing w:before="8"/>
        <w:jc w:val="both"/>
        <w:rPr>
          <w:rFonts w:ascii="Century Gothic" w:hAnsi="Century Gothic"/>
          <w:lang w:bidi="es-ES"/>
        </w:rPr>
      </w:pPr>
    </w:p>
    <w:p w14:paraId="381AAEDA" w14:textId="158A1ACE" w:rsidR="006333A5" w:rsidRDefault="006333A5" w:rsidP="00D6594F">
      <w:pPr>
        <w:pStyle w:val="BodyText"/>
        <w:spacing w:before="8"/>
        <w:jc w:val="both"/>
        <w:rPr>
          <w:rFonts w:ascii="Century Gothic" w:hAnsi="Century Gothic"/>
          <w:lang w:bidi="es-ES"/>
        </w:rPr>
      </w:pPr>
      <w:r w:rsidRPr="006333A5">
        <w:rPr>
          <w:rFonts w:ascii="Century Gothic" w:hAnsi="Century Gothic"/>
          <w:lang w:bidi="es-ES"/>
        </w:rPr>
        <w:t>Además, hemos completado y cumplido todos los pasos, documentación e información necesarios, conforme a lo exigido por las normas y reglamentos aplicables en materia de adquisición de bienes inmuebles, las Guías del Programa de [</w:t>
      </w:r>
      <w:r w:rsidRPr="00D43135">
        <w:rPr>
          <w:rFonts w:ascii="Century Gothic" w:hAnsi="Century Gothic"/>
          <w:highlight w:val="lightGray"/>
          <w:lang w:bidi="es-ES"/>
        </w:rPr>
        <w:t>Nombre del Programa</w:t>
      </w:r>
      <w:r w:rsidRPr="006333A5">
        <w:rPr>
          <w:rFonts w:ascii="Century Gothic" w:hAnsi="Century Gothic"/>
          <w:lang w:bidi="es-ES"/>
        </w:rPr>
        <w:t>] y el [</w:t>
      </w:r>
      <w:r w:rsidRPr="00D43135">
        <w:rPr>
          <w:rFonts w:ascii="Century Gothic" w:hAnsi="Century Gothic"/>
          <w:highlight w:val="lightGray"/>
          <w:lang w:bidi="es-ES"/>
        </w:rPr>
        <w:t>Acuerdo de Subrecipiente/Subvención</w:t>
      </w:r>
      <w:r w:rsidRPr="006333A5">
        <w:rPr>
          <w:rFonts w:ascii="Century Gothic" w:hAnsi="Century Gothic"/>
          <w:lang w:bidi="es-ES"/>
        </w:rPr>
        <w:t>].</w:t>
      </w:r>
    </w:p>
    <w:p w14:paraId="55DB4979" w14:textId="77777777" w:rsidR="006333A5" w:rsidRDefault="006333A5" w:rsidP="00D6594F">
      <w:pPr>
        <w:pStyle w:val="BodyText"/>
        <w:spacing w:before="8"/>
        <w:jc w:val="both"/>
        <w:rPr>
          <w:rFonts w:ascii="Century Gothic" w:hAnsi="Century Gothic"/>
          <w:lang w:bidi="es-ES"/>
        </w:rPr>
      </w:pPr>
    </w:p>
    <w:p w14:paraId="0A3FF5B2" w14:textId="72C942A9" w:rsidR="00D80E87" w:rsidRPr="00D43135" w:rsidRDefault="00D80E87" w:rsidP="00D43135">
      <w:pPr>
        <w:pStyle w:val="BodyText"/>
        <w:jc w:val="both"/>
        <w:rPr>
          <w:rFonts w:ascii="Century Gothic" w:hAnsi="Century Gothic"/>
          <w:lang w:val="es-PR"/>
        </w:rPr>
      </w:pPr>
      <w:r w:rsidRPr="00D43135">
        <w:rPr>
          <w:rFonts w:ascii="Century Gothic" w:hAnsi="Century Gothic"/>
          <w:lang w:val="es-PR"/>
        </w:rPr>
        <w:t>Considerando las normas y reglament</w:t>
      </w:r>
      <w:r>
        <w:rPr>
          <w:rFonts w:ascii="Century Gothic" w:hAnsi="Century Gothic"/>
          <w:lang w:val="es-PR"/>
        </w:rPr>
        <w:t>os</w:t>
      </w:r>
      <w:r w:rsidRPr="00D43135">
        <w:rPr>
          <w:rFonts w:ascii="Century Gothic" w:hAnsi="Century Gothic"/>
          <w:lang w:val="es-PR"/>
        </w:rPr>
        <w:t xml:space="preserve"> aplicables al Programa y a esta adquisición de bienes inmuebles, y que nosotros, [</w:t>
      </w:r>
      <w:r w:rsidRPr="00D43135">
        <w:rPr>
          <w:rFonts w:ascii="Century Gothic" w:hAnsi="Century Gothic"/>
          <w:highlight w:val="lightGray"/>
          <w:lang w:val="es-PR"/>
        </w:rPr>
        <w:t>Nombre del(la) Subreceptor/Agencia/</w:t>
      </w:r>
      <w:r>
        <w:rPr>
          <w:rFonts w:ascii="Century Gothic" w:hAnsi="Century Gothic"/>
          <w:highlight w:val="lightGray"/>
          <w:lang w:val="es-PR"/>
        </w:rPr>
        <w:t>E</w:t>
      </w:r>
      <w:r w:rsidRPr="00D43135">
        <w:rPr>
          <w:rFonts w:ascii="Century Gothic" w:hAnsi="Century Gothic"/>
          <w:highlight w:val="lightGray"/>
          <w:lang w:val="es-PR"/>
        </w:rPr>
        <w:t>ntidad</w:t>
      </w:r>
      <w:r w:rsidRPr="00D43135">
        <w:rPr>
          <w:rFonts w:ascii="Century Gothic" w:hAnsi="Century Gothic"/>
          <w:lang w:val="es-PR"/>
        </w:rPr>
        <w:t xml:space="preserve">], hemos cumplido estrictamente con todos los requisitos aplicables para adquirir el Inmueble descrito anteriormente, los fondos pueden comprometerse y </w:t>
      </w:r>
      <w:r w:rsidR="007D42E8">
        <w:rPr>
          <w:rFonts w:ascii="Century Gothic" w:hAnsi="Century Gothic"/>
          <w:lang w:val="es-PR"/>
        </w:rPr>
        <w:t>desembols</w:t>
      </w:r>
      <w:r w:rsidRPr="00D43135">
        <w:rPr>
          <w:rFonts w:ascii="Century Gothic" w:hAnsi="Century Gothic"/>
          <w:lang w:val="es-PR"/>
        </w:rPr>
        <w:t xml:space="preserve">arse una vez la División de Finanzas </w:t>
      </w:r>
      <w:r w:rsidR="007273F9">
        <w:rPr>
          <w:rFonts w:ascii="Century Gothic" w:hAnsi="Century Gothic"/>
          <w:lang w:val="es-PR"/>
        </w:rPr>
        <w:t>de Vivienda</w:t>
      </w:r>
      <w:r w:rsidRPr="00D43135">
        <w:rPr>
          <w:rFonts w:ascii="Century Gothic" w:hAnsi="Century Gothic"/>
          <w:lang w:val="es-PR"/>
        </w:rPr>
        <w:t xml:space="preserve"> apruebe este memorando y los documentos del paquete de facturas asociados.</w:t>
      </w:r>
    </w:p>
    <w:p w14:paraId="52C16BDB" w14:textId="77777777" w:rsidR="00D80E87" w:rsidRPr="00D43135" w:rsidRDefault="00D80E87" w:rsidP="00D43135">
      <w:pPr>
        <w:pStyle w:val="BodyText"/>
        <w:jc w:val="both"/>
        <w:rPr>
          <w:rFonts w:ascii="Century Gothic" w:hAnsi="Century Gothic"/>
          <w:lang w:val="es-PR"/>
        </w:rPr>
      </w:pPr>
    </w:p>
    <w:p w14:paraId="6FF0EF96" w14:textId="1C18BB9B" w:rsidR="007D42E8" w:rsidRPr="00D43135" w:rsidRDefault="007D42E8" w:rsidP="0060692C">
      <w:pPr>
        <w:pStyle w:val="BodyText"/>
        <w:spacing w:after="160" w:line="259" w:lineRule="auto"/>
        <w:jc w:val="both"/>
        <w:rPr>
          <w:rFonts w:ascii="Century Gothic" w:hAnsi="Century Gothic"/>
          <w:lang w:val="es-PR"/>
        </w:rPr>
      </w:pPr>
      <w:bookmarkStart w:id="0" w:name="_Hlk143523247"/>
      <w:r w:rsidRPr="007D42E8">
        <w:rPr>
          <w:rFonts w:ascii="Century Gothic" w:hAnsi="Century Gothic"/>
          <w:lang w:val="es-PR"/>
        </w:rPr>
        <w:t>El importe total de los fondos requeridos y solicitados para la adquisición del Inmueble asciende a [</w:t>
      </w:r>
      <w:r w:rsidRPr="00D43135">
        <w:rPr>
          <w:rFonts w:ascii="Century Gothic" w:hAnsi="Century Gothic"/>
          <w:highlight w:val="lightGray"/>
          <w:lang w:val="es-PR"/>
        </w:rPr>
        <w:t>Importe total de los fondos requeridos</w:t>
      </w:r>
      <w:r w:rsidRPr="007D42E8">
        <w:rPr>
          <w:rFonts w:ascii="Century Gothic" w:hAnsi="Century Gothic"/>
          <w:lang w:val="es-PR"/>
        </w:rPr>
        <w:t xml:space="preserve">], </w:t>
      </w:r>
      <w:r>
        <w:rPr>
          <w:rFonts w:ascii="Century Gothic" w:hAnsi="Century Gothic"/>
          <w:lang w:val="es-PR"/>
        </w:rPr>
        <w:t xml:space="preserve">lo </w:t>
      </w:r>
      <w:r w:rsidRPr="007D42E8">
        <w:rPr>
          <w:rFonts w:ascii="Century Gothic" w:hAnsi="Century Gothic"/>
          <w:lang w:val="es-PR"/>
        </w:rPr>
        <w:t xml:space="preserve">que incluye el precio de venta y todos los </w:t>
      </w:r>
      <w:r>
        <w:rPr>
          <w:rFonts w:ascii="Century Gothic" w:hAnsi="Century Gothic"/>
          <w:lang w:val="es-PR"/>
        </w:rPr>
        <w:t>gasto</w:t>
      </w:r>
      <w:r w:rsidRPr="007D42E8">
        <w:rPr>
          <w:rFonts w:ascii="Century Gothic" w:hAnsi="Century Gothic"/>
          <w:lang w:val="es-PR"/>
        </w:rPr>
        <w:t>s de cierre</w:t>
      </w:r>
      <w:r w:rsidR="007273F9">
        <w:rPr>
          <w:rFonts w:ascii="Century Gothic" w:hAnsi="Century Gothic"/>
          <w:lang w:val="es-PR"/>
        </w:rPr>
        <w:t>,</w:t>
      </w:r>
      <w:r w:rsidRPr="007D42E8">
        <w:rPr>
          <w:rFonts w:ascii="Century Gothic" w:hAnsi="Century Gothic"/>
          <w:lang w:val="es-PR"/>
        </w:rPr>
        <w:t xml:space="preserve"> según lo establecido en el formulario de declaración de cierre (</w:t>
      </w:r>
      <w:r w:rsidRPr="00D43135">
        <w:rPr>
          <w:rFonts w:ascii="Century Gothic" w:hAnsi="Century Gothic"/>
          <w:b/>
          <w:lang w:val="es-PR"/>
        </w:rPr>
        <w:t>HUD-1</w:t>
      </w:r>
      <w:r w:rsidRPr="007D42E8">
        <w:rPr>
          <w:rFonts w:ascii="Century Gothic" w:hAnsi="Century Gothic"/>
          <w:lang w:val="es-PR"/>
        </w:rPr>
        <w:t>) o documento equivalente.</w:t>
      </w:r>
    </w:p>
    <w:p w14:paraId="7B4C0B2F" w14:textId="6605C6EA" w:rsidR="007D42E8" w:rsidRPr="00D43135" w:rsidRDefault="007D42E8" w:rsidP="006333A5">
      <w:pPr>
        <w:pStyle w:val="BodyText"/>
        <w:spacing w:after="160" w:line="259" w:lineRule="auto"/>
        <w:jc w:val="both"/>
        <w:rPr>
          <w:rFonts w:ascii="Century Gothic" w:hAnsi="Century Gothic"/>
          <w:lang w:val="es-PR"/>
        </w:rPr>
      </w:pPr>
      <w:r w:rsidRPr="00D43135">
        <w:rPr>
          <w:rFonts w:ascii="Century Gothic" w:hAnsi="Century Gothic"/>
          <w:lang w:val="es-PR"/>
        </w:rPr>
        <w:t>El precio de venta del bien inmueble de [</w:t>
      </w:r>
      <w:r w:rsidRPr="00D43135">
        <w:rPr>
          <w:rFonts w:ascii="Century Gothic" w:hAnsi="Century Gothic"/>
          <w:highlight w:val="lightGray"/>
          <w:lang w:val="es-PR"/>
        </w:rPr>
        <w:t>Importe total del precio de venta del bien inmueble</w:t>
      </w:r>
      <w:r w:rsidRPr="00D43135">
        <w:rPr>
          <w:rFonts w:ascii="Century Gothic" w:hAnsi="Century Gothic"/>
          <w:lang w:val="es-PR"/>
        </w:rPr>
        <w:t xml:space="preserve">] </w:t>
      </w:r>
      <w:r>
        <w:rPr>
          <w:rFonts w:ascii="Century Gothic" w:hAnsi="Century Gothic"/>
          <w:lang w:val="es-PR"/>
        </w:rPr>
        <w:t>está basado</w:t>
      </w:r>
      <w:r w:rsidRPr="00D43135">
        <w:rPr>
          <w:rFonts w:ascii="Century Gothic" w:hAnsi="Century Gothic"/>
          <w:lang w:val="es-PR"/>
        </w:rPr>
        <w:t xml:space="preserve"> en lo siguiente: </w:t>
      </w:r>
    </w:p>
    <w:p w14:paraId="7A44CAB8" w14:textId="55DD7945" w:rsidR="00547FEB" w:rsidRPr="00D43135" w:rsidRDefault="007D42E8" w:rsidP="00D43135">
      <w:pPr>
        <w:pStyle w:val="BodyText"/>
        <w:spacing w:after="160" w:line="259" w:lineRule="auto"/>
        <w:jc w:val="both"/>
        <w:rPr>
          <w:rFonts w:ascii="Century Gothic" w:hAnsi="Century Gothic"/>
          <w:highlight w:val="lightGray"/>
          <w:lang w:val="es-PR"/>
        </w:rPr>
      </w:pPr>
      <w:r w:rsidRPr="00D43135">
        <w:rPr>
          <w:rFonts w:ascii="Century Gothic" w:hAnsi="Century Gothic"/>
          <w:highlight w:val="lightGray"/>
          <w:lang w:val="es-PR"/>
        </w:rPr>
        <w:t>[</w:t>
      </w:r>
      <w:r w:rsidRPr="00D43135">
        <w:rPr>
          <w:rFonts w:ascii="Century Gothic" w:hAnsi="Century Gothic"/>
          <w:b/>
          <w:highlight w:val="lightGray"/>
          <w:lang w:val="es-PR"/>
        </w:rPr>
        <w:t>NOTA</w:t>
      </w:r>
      <w:r w:rsidRPr="00D43135">
        <w:rPr>
          <w:rFonts w:ascii="Century Gothic" w:hAnsi="Century Gothic"/>
          <w:highlight w:val="lightGray"/>
          <w:lang w:val="es-PR"/>
        </w:rPr>
        <w:t>: El</w:t>
      </w:r>
      <w:r>
        <w:rPr>
          <w:rFonts w:ascii="Century Gothic" w:hAnsi="Century Gothic"/>
          <w:highlight w:val="lightGray"/>
          <w:lang w:val="es-PR"/>
        </w:rPr>
        <w:t>(la)</w:t>
      </w:r>
      <w:r w:rsidRPr="00D43135">
        <w:rPr>
          <w:rFonts w:ascii="Century Gothic" w:hAnsi="Century Gothic"/>
          <w:highlight w:val="lightGray"/>
          <w:lang w:val="es-PR"/>
        </w:rPr>
        <w:t xml:space="preserve"> Subrec</w:t>
      </w:r>
      <w:r>
        <w:rPr>
          <w:rFonts w:ascii="Century Gothic" w:hAnsi="Century Gothic"/>
          <w:highlight w:val="lightGray"/>
          <w:lang w:val="es-PR"/>
        </w:rPr>
        <w:t>ipiente</w:t>
      </w:r>
      <w:r w:rsidRPr="00D43135">
        <w:rPr>
          <w:rFonts w:ascii="Century Gothic" w:hAnsi="Century Gothic"/>
          <w:highlight w:val="lightGray"/>
          <w:lang w:val="es-PR"/>
        </w:rPr>
        <w:t xml:space="preserve">/Agencia/Entidad debe incluir la explicación y justificación de la </w:t>
      </w:r>
      <w:r>
        <w:rPr>
          <w:rFonts w:ascii="Century Gothic" w:hAnsi="Century Gothic"/>
          <w:highlight w:val="lightGray"/>
          <w:lang w:val="es-PR"/>
        </w:rPr>
        <w:t xml:space="preserve">forma en que se determinó el </w:t>
      </w:r>
      <w:r w:rsidRPr="00D43135">
        <w:rPr>
          <w:rFonts w:ascii="Century Gothic" w:hAnsi="Century Gothic"/>
          <w:highlight w:val="lightGray"/>
          <w:lang w:val="es-PR"/>
        </w:rPr>
        <w:t>precio de venta. También deben indicar el valor de tasación y explicar las diferencias (si las hubiera) entre la tasación y el precio de venta. Si la adquisición se realiza en el marco de un proceso involuntario, el precio de venta no puede ser inferior al valor de tasación del bien. Si el precio de venta es superior a la tasación, deberá c</w:t>
      </w:r>
      <w:r>
        <w:rPr>
          <w:rFonts w:ascii="Century Gothic" w:hAnsi="Century Gothic"/>
          <w:highlight w:val="lightGray"/>
          <w:lang w:val="es-PR"/>
        </w:rPr>
        <w:t>ompl</w:t>
      </w:r>
      <w:r w:rsidRPr="00D43135">
        <w:rPr>
          <w:rFonts w:ascii="Century Gothic" w:hAnsi="Century Gothic"/>
          <w:highlight w:val="lightGray"/>
          <w:lang w:val="es-PR"/>
        </w:rPr>
        <w:t xml:space="preserve">etarse un Memorándum </w:t>
      </w:r>
      <w:r w:rsidR="00547FEB">
        <w:rPr>
          <w:rFonts w:ascii="Century Gothic" w:hAnsi="Century Gothic"/>
          <w:highlight w:val="lightGray"/>
          <w:lang w:val="es-PR"/>
        </w:rPr>
        <w:t xml:space="preserve">de Acuerdo </w:t>
      </w:r>
      <w:r w:rsidRPr="00D43135">
        <w:rPr>
          <w:rFonts w:ascii="Century Gothic" w:hAnsi="Century Gothic"/>
          <w:highlight w:val="lightGray"/>
          <w:lang w:val="es-PR"/>
        </w:rPr>
        <w:t xml:space="preserve">Administrativo y presentarse como </w:t>
      </w:r>
      <w:r w:rsidR="00547FEB">
        <w:rPr>
          <w:rFonts w:ascii="Century Gothic" w:hAnsi="Century Gothic"/>
          <w:highlight w:val="lightGray"/>
          <w:lang w:val="es-PR"/>
        </w:rPr>
        <w:t>apéndice</w:t>
      </w:r>
      <w:r w:rsidRPr="00D43135">
        <w:rPr>
          <w:rFonts w:ascii="Century Gothic" w:hAnsi="Century Gothic"/>
          <w:highlight w:val="lightGray"/>
          <w:lang w:val="es-PR"/>
        </w:rPr>
        <w:t xml:space="preserve"> a este memorándum</w:t>
      </w:r>
      <w:r w:rsidR="00547FEB">
        <w:rPr>
          <w:rFonts w:ascii="Century Gothic" w:hAnsi="Century Gothic"/>
          <w:highlight w:val="lightGray"/>
          <w:lang w:val="es-PR"/>
        </w:rPr>
        <w:t>, así</w:t>
      </w:r>
      <w:r w:rsidRPr="00D43135">
        <w:rPr>
          <w:rFonts w:ascii="Century Gothic" w:hAnsi="Century Gothic"/>
          <w:highlight w:val="lightGray"/>
          <w:lang w:val="es-PR"/>
        </w:rPr>
        <w:t xml:space="preserve"> como parte del paquete de facturas].</w:t>
      </w:r>
      <w:r w:rsidRPr="00D43135" w:rsidDel="007D42E8">
        <w:rPr>
          <w:rFonts w:ascii="Century Gothic" w:hAnsi="Century Gothic"/>
          <w:highlight w:val="lightGray"/>
          <w:lang w:val="es-PR"/>
        </w:rPr>
        <w:t xml:space="preserve"> </w:t>
      </w:r>
      <w:bookmarkEnd w:id="0"/>
    </w:p>
    <w:p w14:paraId="01F2D192" w14:textId="2D8E65F1" w:rsidR="001B0220" w:rsidRPr="00EC0545" w:rsidRDefault="001B0220" w:rsidP="00B068B2">
      <w:pPr>
        <w:pStyle w:val="BodyText"/>
        <w:spacing w:before="8"/>
        <w:jc w:val="both"/>
        <w:rPr>
          <w:rFonts w:ascii="Century Gothic" w:hAnsi="Century Gothic"/>
        </w:rPr>
      </w:pPr>
      <w:r w:rsidRPr="0060692C">
        <w:rPr>
          <w:rFonts w:ascii="Century Gothic" w:hAnsi="Century Gothic"/>
          <w:lang w:bidi="es-ES"/>
        </w:rPr>
        <w:t>Gracias por su atención a este asunto. Por favor</w:t>
      </w:r>
      <w:r w:rsidR="007273F9">
        <w:rPr>
          <w:rFonts w:ascii="Century Gothic" w:hAnsi="Century Gothic"/>
          <w:lang w:bidi="es-ES"/>
        </w:rPr>
        <w:t>,</w:t>
      </w:r>
      <w:r w:rsidRPr="0060692C">
        <w:rPr>
          <w:rFonts w:ascii="Century Gothic" w:hAnsi="Century Gothic"/>
          <w:lang w:bidi="es-ES"/>
        </w:rPr>
        <w:t xml:space="preserve"> déjenos saber si necesita alguna otra información o documentación adicional.</w:t>
      </w:r>
    </w:p>
    <w:p w14:paraId="73875E5E" w14:textId="77777777" w:rsidR="00FB6D1D" w:rsidRPr="00EC0545" w:rsidRDefault="00FB6D1D" w:rsidP="001B0220">
      <w:pPr>
        <w:pStyle w:val="BodyText"/>
        <w:spacing w:before="8"/>
        <w:rPr>
          <w:rFonts w:ascii="Century Gothic" w:hAnsi="Century Gothic"/>
        </w:rPr>
      </w:pPr>
    </w:p>
    <w:p w14:paraId="5B5E876F" w14:textId="3C21EF80" w:rsidR="001B0220" w:rsidRDefault="001B0220" w:rsidP="001B0220">
      <w:pPr>
        <w:pStyle w:val="BodyText"/>
        <w:spacing w:before="8"/>
        <w:rPr>
          <w:rFonts w:ascii="Century Gothic" w:hAnsi="Century Gothic"/>
          <w:lang w:bidi="es-ES"/>
        </w:rPr>
      </w:pPr>
      <w:r w:rsidRPr="00EC0545">
        <w:rPr>
          <w:rFonts w:ascii="Century Gothic" w:hAnsi="Century Gothic"/>
          <w:lang w:bidi="es-ES"/>
        </w:rPr>
        <w:t>Atentamente,</w:t>
      </w:r>
    </w:p>
    <w:p w14:paraId="7CEDE8AC" w14:textId="77777777" w:rsidR="00547FEB" w:rsidRPr="00EC0545" w:rsidRDefault="00547FEB" w:rsidP="001B0220">
      <w:pPr>
        <w:pStyle w:val="BodyText"/>
        <w:spacing w:before="8"/>
        <w:rPr>
          <w:rFonts w:ascii="Century Gothic" w:hAnsi="Century Gothic"/>
        </w:rPr>
      </w:pPr>
    </w:p>
    <w:p w14:paraId="3E7FD610" w14:textId="77777777" w:rsidR="00FB6D1D" w:rsidRPr="00EC0545" w:rsidRDefault="00FB6D1D" w:rsidP="001B0220">
      <w:pPr>
        <w:pStyle w:val="BodyText"/>
        <w:spacing w:before="8"/>
        <w:rPr>
          <w:rFonts w:ascii="Century Gothic" w:hAnsi="Century Gothic"/>
        </w:rPr>
      </w:pPr>
    </w:p>
    <w:p w14:paraId="730AC8F8" w14:textId="2C8227A1" w:rsidR="00FB6D1D" w:rsidRPr="00EC0545" w:rsidRDefault="00FB6D1D" w:rsidP="00FB6D1D">
      <w:pPr>
        <w:pStyle w:val="BodyText"/>
        <w:spacing w:before="8"/>
        <w:rPr>
          <w:rFonts w:ascii="Century Gothic" w:hAnsi="Century Gothic"/>
          <w:highlight w:val="lightGray"/>
        </w:rPr>
      </w:pPr>
      <w:r w:rsidRPr="00EC0545">
        <w:rPr>
          <w:rFonts w:ascii="Century Gothic" w:hAnsi="Century Gothic"/>
          <w:highlight w:val="lightGray"/>
          <w:lang w:bidi="es-ES"/>
        </w:rPr>
        <w:t xml:space="preserve">[Nombre del </w:t>
      </w:r>
      <w:r w:rsidR="00547FEB">
        <w:rPr>
          <w:rFonts w:ascii="Century Gothic" w:hAnsi="Century Gothic"/>
          <w:highlight w:val="lightGray"/>
          <w:lang w:bidi="es-ES"/>
        </w:rPr>
        <w:t xml:space="preserve">representante autorizado del </w:t>
      </w:r>
      <w:proofErr w:type="spellStart"/>
      <w:r w:rsidRPr="00EC0545">
        <w:rPr>
          <w:rFonts w:ascii="Century Gothic" w:hAnsi="Century Gothic"/>
          <w:highlight w:val="lightGray"/>
          <w:lang w:bidi="es-ES"/>
        </w:rPr>
        <w:t>Subrecipiente</w:t>
      </w:r>
      <w:proofErr w:type="spellEnd"/>
      <w:r w:rsidRPr="00EC0545">
        <w:rPr>
          <w:rFonts w:ascii="Century Gothic" w:hAnsi="Century Gothic"/>
          <w:highlight w:val="lightGray"/>
          <w:lang w:bidi="es-ES"/>
        </w:rPr>
        <w:t>/</w:t>
      </w:r>
      <w:r w:rsidR="00547FEB">
        <w:rPr>
          <w:rFonts w:ascii="Century Gothic" w:hAnsi="Century Gothic"/>
          <w:highlight w:val="lightGray"/>
          <w:lang w:bidi="es-ES"/>
        </w:rPr>
        <w:t>A</w:t>
      </w:r>
      <w:r w:rsidRPr="00EC0545">
        <w:rPr>
          <w:rFonts w:ascii="Century Gothic" w:hAnsi="Century Gothic"/>
          <w:highlight w:val="lightGray"/>
          <w:lang w:bidi="es-ES"/>
        </w:rPr>
        <w:t>gencia</w:t>
      </w:r>
      <w:r w:rsidR="00547FEB">
        <w:rPr>
          <w:rFonts w:ascii="Century Gothic" w:hAnsi="Century Gothic"/>
          <w:highlight w:val="lightGray"/>
          <w:lang w:bidi="es-ES"/>
        </w:rPr>
        <w:t>/Entidad</w:t>
      </w:r>
      <w:r w:rsidRPr="00EC0545">
        <w:rPr>
          <w:rFonts w:ascii="Century Gothic" w:hAnsi="Century Gothic"/>
          <w:highlight w:val="lightGray"/>
          <w:lang w:bidi="es-ES"/>
        </w:rPr>
        <w:t xml:space="preserve">] </w:t>
      </w:r>
    </w:p>
    <w:p w14:paraId="72F509BF" w14:textId="56DA76F7" w:rsidR="00200CC7" w:rsidRDefault="00200CC7" w:rsidP="00FB6D1D">
      <w:pPr>
        <w:pStyle w:val="BodyText"/>
        <w:spacing w:before="8"/>
        <w:rPr>
          <w:rFonts w:ascii="Century Gothic" w:hAnsi="Century Gothic"/>
          <w:highlight w:val="lightGray"/>
          <w:lang w:bidi="es-ES"/>
        </w:rPr>
      </w:pPr>
      <w:r w:rsidRPr="00EC0545">
        <w:rPr>
          <w:rFonts w:ascii="Century Gothic" w:hAnsi="Century Gothic"/>
          <w:highlight w:val="lightGray"/>
          <w:lang w:bidi="es-ES"/>
        </w:rPr>
        <w:t>[Puesto]</w:t>
      </w:r>
    </w:p>
    <w:p w14:paraId="1612B355" w14:textId="1DF1F24D" w:rsidR="00547FEB" w:rsidRPr="00D43135" w:rsidRDefault="00547FEB" w:rsidP="00FB6D1D">
      <w:pPr>
        <w:pStyle w:val="BodyText"/>
        <w:spacing w:before="8"/>
        <w:rPr>
          <w:rFonts w:ascii="Century Gothic" w:hAnsi="Century Gothic"/>
          <w:highlight w:val="lightGray"/>
          <w:lang w:val="es-PR"/>
        </w:rPr>
      </w:pPr>
      <w:r>
        <w:rPr>
          <w:rFonts w:ascii="Century Gothic" w:hAnsi="Century Gothic"/>
          <w:highlight w:val="lightGray"/>
        </w:rPr>
        <w:t xml:space="preserve">[Nombre del </w:t>
      </w:r>
      <w:r w:rsidRPr="00EC0545">
        <w:rPr>
          <w:rFonts w:ascii="Century Gothic" w:hAnsi="Century Gothic"/>
          <w:highlight w:val="lightGray"/>
          <w:lang w:bidi="es-ES"/>
        </w:rPr>
        <w:t>Subrecipiente/</w:t>
      </w:r>
      <w:r>
        <w:rPr>
          <w:rFonts w:ascii="Century Gothic" w:hAnsi="Century Gothic"/>
          <w:highlight w:val="lightGray"/>
          <w:lang w:bidi="es-ES"/>
        </w:rPr>
        <w:t>A</w:t>
      </w:r>
      <w:r w:rsidRPr="00EC0545">
        <w:rPr>
          <w:rFonts w:ascii="Century Gothic" w:hAnsi="Century Gothic"/>
          <w:highlight w:val="lightGray"/>
          <w:lang w:bidi="es-ES"/>
        </w:rPr>
        <w:t>gencia</w:t>
      </w:r>
      <w:r>
        <w:rPr>
          <w:rFonts w:ascii="Century Gothic" w:hAnsi="Century Gothic"/>
          <w:highlight w:val="lightGray"/>
          <w:lang w:bidi="es-ES"/>
        </w:rPr>
        <w:t>/Entidad]</w:t>
      </w:r>
    </w:p>
    <w:p w14:paraId="7FCCCAA6" w14:textId="18A64F63" w:rsidR="00FB6D1D" w:rsidRPr="00EC0545" w:rsidRDefault="00FB6D1D" w:rsidP="00FB6D1D">
      <w:pPr>
        <w:pStyle w:val="BodyText"/>
        <w:spacing w:before="8"/>
        <w:rPr>
          <w:rFonts w:ascii="Century Gothic" w:hAnsi="Century Gothic"/>
          <w:highlight w:val="lightGray"/>
        </w:rPr>
      </w:pPr>
      <w:r w:rsidRPr="00EC0545">
        <w:rPr>
          <w:rFonts w:ascii="Century Gothic" w:hAnsi="Century Gothic"/>
          <w:highlight w:val="lightGray"/>
          <w:lang w:bidi="es-ES"/>
        </w:rPr>
        <w:t>[Dirección del Subrecipiente/</w:t>
      </w:r>
      <w:r w:rsidR="00547FEB" w:rsidRPr="00EC0545">
        <w:rPr>
          <w:rFonts w:ascii="Century Gothic" w:hAnsi="Century Gothic"/>
          <w:highlight w:val="lightGray"/>
          <w:lang w:bidi="es-ES"/>
        </w:rPr>
        <w:t>A</w:t>
      </w:r>
      <w:r w:rsidRPr="00EC0545">
        <w:rPr>
          <w:rFonts w:ascii="Century Gothic" w:hAnsi="Century Gothic"/>
          <w:highlight w:val="lightGray"/>
          <w:lang w:bidi="es-ES"/>
        </w:rPr>
        <w:t>gencia</w:t>
      </w:r>
      <w:r w:rsidR="00547FEB">
        <w:rPr>
          <w:rFonts w:ascii="Century Gothic" w:hAnsi="Century Gothic"/>
          <w:highlight w:val="lightGray"/>
          <w:lang w:bidi="es-ES"/>
        </w:rPr>
        <w:t>/Entidad</w:t>
      </w:r>
      <w:r w:rsidRPr="00EC0545">
        <w:rPr>
          <w:rFonts w:ascii="Century Gothic" w:hAnsi="Century Gothic"/>
          <w:highlight w:val="lightGray"/>
          <w:lang w:bidi="es-ES"/>
        </w:rPr>
        <w:t xml:space="preserve">] </w:t>
      </w:r>
    </w:p>
    <w:p w14:paraId="6E874C8B" w14:textId="77777777" w:rsidR="00FB6D1D" w:rsidRPr="00EC0545" w:rsidRDefault="00FB6D1D" w:rsidP="00FB6D1D">
      <w:pPr>
        <w:pStyle w:val="BodyText"/>
        <w:spacing w:before="8"/>
        <w:rPr>
          <w:rFonts w:ascii="Century Gothic" w:hAnsi="Century Gothic"/>
          <w:highlight w:val="lightGray"/>
        </w:rPr>
      </w:pPr>
      <w:r w:rsidRPr="00EC0545">
        <w:rPr>
          <w:rFonts w:ascii="Century Gothic" w:hAnsi="Century Gothic"/>
          <w:highlight w:val="lightGray"/>
          <w:lang w:bidi="es-ES"/>
        </w:rPr>
        <w:t xml:space="preserve">[Municipio, estado, código postal] </w:t>
      </w:r>
    </w:p>
    <w:p w14:paraId="15DD75E2" w14:textId="77777777" w:rsidR="001B0220" w:rsidRPr="00EC0545" w:rsidRDefault="001B0220" w:rsidP="001B0220">
      <w:pPr>
        <w:pStyle w:val="z-TopofForm"/>
        <w:rPr>
          <w:rFonts w:ascii="Century Gothic" w:hAnsi="Century Gothic"/>
          <w:sz w:val="22"/>
          <w:szCs w:val="22"/>
        </w:rPr>
      </w:pPr>
      <w:r w:rsidRPr="00EC0545">
        <w:rPr>
          <w:rFonts w:ascii="Century Gothic" w:hAnsi="Century Gothic"/>
          <w:sz w:val="22"/>
          <w:szCs w:val="22"/>
        </w:rPr>
        <w:t>Top of Form</w:t>
      </w:r>
    </w:p>
    <w:p w14:paraId="6C7BAB62" w14:textId="186EB28A" w:rsidR="00A02B2F" w:rsidRPr="00EC0545" w:rsidRDefault="00A02B2F">
      <w:pPr>
        <w:pStyle w:val="BodyText"/>
        <w:spacing w:before="8"/>
        <w:rPr>
          <w:rFonts w:ascii="Century Gothic" w:hAnsi="Century Gothic"/>
        </w:rPr>
      </w:pPr>
    </w:p>
    <w:sectPr w:rsidR="00A02B2F" w:rsidRPr="00EC0545">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787D" w14:textId="77777777" w:rsidR="008303BC" w:rsidRDefault="008303BC">
      <w:r>
        <w:separator/>
      </w:r>
    </w:p>
  </w:endnote>
  <w:endnote w:type="continuationSeparator" w:id="0">
    <w:p w14:paraId="04C0E43D" w14:textId="77777777" w:rsidR="008303BC" w:rsidRDefault="0083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0C1F" w14:textId="77777777" w:rsidR="008303BC" w:rsidRDefault="008303BC">
      <w:r>
        <w:separator/>
      </w:r>
    </w:p>
  </w:footnote>
  <w:footnote w:type="continuationSeparator" w:id="0">
    <w:p w14:paraId="19D0551B" w14:textId="77777777" w:rsidR="008303BC" w:rsidRDefault="008303BC">
      <w:r>
        <w:continuationSeparator/>
      </w:r>
    </w:p>
  </w:footnote>
  <w:footnote w:id="1">
    <w:p w14:paraId="0EBA4B4A" w14:textId="02983E64" w:rsidR="00026502" w:rsidRPr="00D43135" w:rsidRDefault="00026502">
      <w:pPr>
        <w:pStyle w:val="FootnoteText"/>
        <w:rPr>
          <w:rFonts w:ascii="Century Gothic" w:hAnsi="Century Gothic"/>
          <w:sz w:val="16"/>
          <w:szCs w:val="16"/>
          <w:lang w:val="es-PR"/>
        </w:rPr>
      </w:pPr>
      <w:r w:rsidRPr="00026502">
        <w:rPr>
          <w:rStyle w:val="FootnoteReference"/>
          <w:rFonts w:ascii="Century Gothic" w:hAnsi="Century Gothic"/>
          <w:sz w:val="16"/>
          <w:szCs w:val="16"/>
        </w:rPr>
        <w:footnoteRef/>
      </w:r>
      <w:r w:rsidRPr="00026502">
        <w:rPr>
          <w:rFonts w:ascii="Century Gothic" w:hAnsi="Century Gothic"/>
          <w:sz w:val="16"/>
          <w:szCs w:val="16"/>
        </w:rPr>
        <w:t xml:space="preserve"> La Guía URA &amp; ADP está disponible</w:t>
      </w:r>
      <w:r w:rsidR="007273F9">
        <w:rPr>
          <w:rFonts w:ascii="Century Gothic" w:hAnsi="Century Gothic"/>
          <w:sz w:val="16"/>
          <w:szCs w:val="16"/>
        </w:rPr>
        <w:t>,</w:t>
      </w:r>
      <w:r w:rsidRPr="00026502">
        <w:rPr>
          <w:rFonts w:ascii="Century Gothic" w:hAnsi="Century Gothic"/>
          <w:sz w:val="16"/>
          <w:szCs w:val="16"/>
        </w:rPr>
        <w:t xml:space="preserve"> en inglés y español, en</w:t>
      </w:r>
      <w:r>
        <w:rPr>
          <w:rFonts w:ascii="Century Gothic" w:hAnsi="Century Gothic"/>
          <w:sz w:val="16"/>
          <w:szCs w:val="16"/>
        </w:rPr>
        <w:t xml:space="preserve"> la página web de Vivienda en:</w:t>
      </w:r>
      <w:r w:rsidRPr="00026502">
        <w:rPr>
          <w:rFonts w:ascii="Century Gothic" w:hAnsi="Century Gothic"/>
          <w:sz w:val="16"/>
          <w:szCs w:val="16"/>
        </w:rPr>
        <w:t xml:space="preserve"> </w:t>
      </w:r>
      <w:hyperlink r:id="rId1" w:history="1">
        <w:r w:rsidRPr="00026502">
          <w:rPr>
            <w:rStyle w:val="Hyperlink"/>
            <w:rFonts w:ascii="Century Gothic" w:hAnsi="Century Gothic"/>
            <w:sz w:val="16"/>
            <w:szCs w:val="16"/>
          </w:rPr>
          <w:t>https://cdbg-dr.pr.gov/en/download/ura-adp-guidelines/</w:t>
        </w:r>
      </w:hyperlink>
      <w:r w:rsidRPr="00026502">
        <w:rPr>
          <w:rFonts w:ascii="Century Gothic" w:hAnsi="Century Gothic"/>
          <w:sz w:val="16"/>
          <w:szCs w:val="16"/>
        </w:rPr>
        <w:t xml:space="preserve"> y </w:t>
      </w:r>
      <w:hyperlink r:id="rId2" w:history="1">
        <w:r w:rsidRPr="00026502">
          <w:rPr>
            <w:rStyle w:val="Hyperlink"/>
            <w:rFonts w:ascii="Century Gothic" w:hAnsi="Century Gothic"/>
            <w:sz w:val="16"/>
            <w:szCs w:val="16"/>
          </w:rPr>
          <w:t>https://cdbg-dr.pr.gov/download/guias-ura-adp/</w:t>
        </w:r>
      </w:hyperlink>
      <w:r w:rsidRPr="00026502">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E2BF" w14:textId="3C878716" w:rsidR="00FB6D1D" w:rsidRDefault="00FB6D1D">
    <w:pPr>
      <w:pStyle w:val="Header"/>
    </w:pPr>
    <w:r>
      <w:rPr>
        <w:noProof/>
        <w:lang w:bidi="es-ES"/>
      </w:rPr>
      <w:drawing>
        <wp:anchor distT="0" distB="0" distL="114300" distR="114300" simplePos="0" relativeHeight="251659264" behindDoc="1" locked="0" layoutInCell="1" allowOverlap="1" wp14:anchorId="36562405" wp14:editId="0431CFA5">
          <wp:simplePos x="0" y="0"/>
          <wp:positionH relativeFrom="margin">
            <wp:align>left</wp:align>
          </wp:positionH>
          <wp:positionV relativeFrom="paragraph">
            <wp:posOffset>-232565</wp:posOffset>
          </wp:positionV>
          <wp:extent cx="1454331" cy="581732"/>
          <wp:effectExtent l="0" t="0" r="0" b="8890"/>
          <wp:wrapNone/>
          <wp:docPr id="2" name="Picture 2" descr="Image result for 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placehold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1454331" cy="5817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82961"/>
    <w:multiLevelType w:val="hybridMultilevel"/>
    <w:tmpl w:val="41909FB0"/>
    <w:lvl w:ilvl="0" w:tplc="394C6EA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C21F8"/>
    <w:multiLevelType w:val="hybridMultilevel"/>
    <w:tmpl w:val="36167182"/>
    <w:lvl w:ilvl="0" w:tplc="394C6EA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062C2"/>
    <w:multiLevelType w:val="hybridMultilevel"/>
    <w:tmpl w:val="E772977C"/>
    <w:lvl w:ilvl="0" w:tplc="F46C9CE8">
      <w:numFmt w:val="bullet"/>
      <w:lvlText w:val="-"/>
      <w:lvlJc w:val="left"/>
      <w:pPr>
        <w:ind w:left="821" w:hanging="360"/>
      </w:pPr>
      <w:rPr>
        <w:rFonts w:ascii="Times New Roman" w:eastAsia="Times New Roman" w:hAnsi="Times New Roman" w:cs="Times New Roman" w:hint="default"/>
        <w:b w:val="0"/>
        <w:bCs w:val="0"/>
        <w:i w:val="0"/>
        <w:iCs w:val="0"/>
        <w:w w:val="100"/>
        <w:sz w:val="22"/>
        <w:szCs w:val="22"/>
        <w:lang w:val="en-US" w:eastAsia="en-US" w:bidi="ar-SA"/>
      </w:rPr>
    </w:lvl>
    <w:lvl w:ilvl="1" w:tplc="1CFE8526">
      <w:numFmt w:val="bullet"/>
      <w:lvlText w:val="•"/>
      <w:lvlJc w:val="left"/>
      <w:pPr>
        <w:ind w:left="1696" w:hanging="360"/>
      </w:pPr>
      <w:rPr>
        <w:rFonts w:hint="default"/>
        <w:lang w:val="en-US" w:eastAsia="en-US" w:bidi="ar-SA"/>
      </w:rPr>
    </w:lvl>
    <w:lvl w:ilvl="2" w:tplc="69347932">
      <w:numFmt w:val="bullet"/>
      <w:lvlText w:val="•"/>
      <w:lvlJc w:val="left"/>
      <w:pPr>
        <w:ind w:left="2572" w:hanging="360"/>
      </w:pPr>
      <w:rPr>
        <w:rFonts w:hint="default"/>
        <w:lang w:val="en-US" w:eastAsia="en-US" w:bidi="ar-SA"/>
      </w:rPr>
    </w:lvl>
    <w:lvl w:ilvl="3" w:tplc="ED64A036">
      <w:numFmt w:val="bullet"/>
      <w:lvlText w:val="•"/>
      <w:lvlJc w:val="left"/>
      <w:pPr>
        <w:ind w:left="3448" w:hanging="360"/>
      </w:pPr>
      <w:rPr>
        <w:rFonts w:hint="default"/>
        <w:lang w:val="en-US" w:eastAsia="en-US" w:bidi="ar-SA"/>
      </w:rPr>
    </w:lvl>
    <w:lvl w:ilvl="4" w:tplc="BC767B10">
      <w:numFmt w:val="bullet"/>
      <w:lvlText w:val="•"/>
      <w:lvlJc w:val="left"/>
      <w:pPr>
        <w:ind w:left="4324" w:hanging="360"/>
      </w:pPr>
      <w:rPr>
        <w:rFonts w:hint="default"/>
        <w:lang w:val="en-US" w:eastAsia="en-US" w:bidi="ar-SA"/>
      </w:rPr>
    </w:lvl>
    <w:lvl w:ilvl="5" w:tplc="A24E2E52">
      <w:numFmt w:val="bullet"/>
      <w:lvlText w:val="•"/>
      <w:lvlJc w:val="left"/>
      <w:pPr>
        <w:ind w:left="5200" w:hanging="360"/>
      </w:pPr>
      <w:rPr>
        <w:rFonts w:hint="default"/>
        <w:lang w:val="en-US" w:eastAsia="en-US" w:bidi="ar-SA"/>
      </w:rPr>
    </w:lvl>
    <w:lvl w:ilvl="6" w:tplc="5524AEDC">
      <w:numFmt w:val="bullet"/>
      <w:lvlText w:val="•"/>
      <w:lvlJc w:val="left"/>
      <w:pPr>
        <w:ind w:left="6076" w:hanging="360"/>
      </w:pPr>
      <w:rPr>
        <w:rFonts w:hint="default"/>
        <w:lang w:val="en-US" w:eastAsia="en-US" w:bidi="ar-SA"/>
      </w:rPr>
    </w:lvl>
    <w:lvl w:ilvl="7" w:tplc="D67013AA">
      <w:numFmt w:val="bullet"/>
      <w:lvlText w:val="•"/>
      <w:lvlJc w:val="left"/>
      <w:pPr>
        <w:ind w:left="6952" w:hanging="360"/>
      </w:pPr>
      <w:rPr>
        <w:rFonts w:hint="default"/>
        <w:lang w:val="en-US" w:eastAsia="en-US" w:bidi="ar-SA"/>
      </w:rPr>
    </w:lvl>
    <w:lvl w:ilvl="8" w:tplc="A6BE7500">
      <w:numFmt w:val="bullet"/>
      <w:lvlText w:val="•"/>
      <w:lvlJc w:val="left"/>
      <w:pPr>
        <w:ind w:left="7828" w:hanging="360"/>
      </w:pPr>
      <w:rPr>
        <w:rFonts w:hint="default"/>
        <w:lang w:val="en-US" w:eastAsia="en-US" w:bidi="ar-SA"/>
      </w:rPr>
    </w:lvl>
  </w:abstractNum>
  <w:num w:numId="1" w16cid:durableId="1310940451">
    <w:abstractNumId w:val="2"/>
  </w:num>
  <w:num w:numId="2" w16cid:durableId="365756805">
    <w:abstractNumId w:val="0"/>
  </w:num>
  <w:num w:numId="3" w16cid:durableId="7309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2F"/>
    <w:rsid w:val="00001FEB"/>
    <w:rsid w:val="00002271"/>
    <w:rsid w:val="00026502"/>
    <w:rsid w:val="00074D3D"/>
    <w:rsid w:val="000875A7"/>
    <w:rsid w:val="000C5BD0"/>
    <w:rsid w:val="000E1784"/>
    <w:rsid w:val="000F3767"/>
    <w:rsid w:val="0015033D"/>
    <w:rsid w:val="00163409"/>
    <w:rsid w:val="001634DD"/>
    <w:rsid w:val="001A56B3"/>
    <w:rsid w:val="001A6838"/>
    <w:rsid w:val="001A749E"/>
    <w:rsid w:val="001B0220"/>
    <w:rsid w:val="001B741E"/>
    <w:rsid w:val="001C0A5E"/>
    <w:rsid w:val="001D064B"/>
    <w:rsid w:val="00200CC7"/>
    <w:rsid w:val="00206D3F"/>
    <w:rsid w:val="0021642C"/>
    <w:rsid w:val="00224F71"/>
    <w:rsid w:val="002408B4"/>
    <w:rsid w:val="0026270B"/>
    <w:rsid w:val="002A2965"/>
    <w:rsid w:val="002C76EC"/>
    <w:rsid w:val="003763A5"/>
    <w:rsid w:val="003B2AEF"/>
    <w:rsid w:val="00401697"/>
    <w:rsid w:val="00405124"/>
    <w:rsid w:val="00425C52"/>
    <w:rsid w:val="00446044"/>
    <w:rsid w:val="00447F1C"/>
    <w:rsid w:val="00451C0A"/>
    <w:rsid w:val="00465410"/>
    <w:rsid w:val="00497E4C"/>
    <w:rsid w:val="004A5514"/>
    <w:rsid w:val="004B0205"/>
    <w:rsid w:val="004B6F7E"/>
    <w:rsid w:val="004F4981"/>
    <w:rsid w:val="00536AD9"/>
    <w:rsid w:val="005475D7"/>
    <w:rsid w:val="00547FEB"/>
    <w:rsid w:val="005735A2"/>
    <w:rsid w:val="00577A3F"/>
    <w:rsid w:val="005D0975"/>
    <w:rsid w:val="0060692C"/>
    <w:rsid w:val="0061058A"/>
    <w:rsid w:val="006223A6"/>
    <w:rsid w:val="00626A68"/>
    <w:rsid w:val="006333A5"/>
    <w:rsid w:val="00676EE2"/>
    <w:rsid w:val="00691F76"/>
    <w:rsid w:val="007114B7"/>
    <w:rsid w:val="0071547B"/>
    <w:rsid w:val="007273F9"/>
    <w:rsid w:val="00740C8F"/>
    <w:rsid w:val="0079076A"/>
    <w:rsid w:val="00796908"/>
    <w:rsid w:val="007B5795"/>
    <w:rsid w:val="007D42E8"/>
    <w:rsid w:val="008303BC"/>
    <w:rsid w:val="00852A19"/>
    <w:rsid w:val="00854780"/>
    <w:rsid w:val="00866F43"/>
    <w:rsid w:val="00897F01"/>
    <w:rsid w:val="008D2348"/>
    <w:rsid w:val="008D49AF"/>
    <w:rsid w:val="008E2FBB"/>
    <w:rsid w:val="00903E84"/>
    <w:rsid w:val="009164E4"/>
    <w:rsid w:val="00931E1A"/>
    <w:rsid w:val="00A02B2F"/>
    <w:rsid w:val="00A137A5"/>
    <w:rsid w:val="00A54568"/>
    <w:rsid w:val="00AA5FD0"/>
    <w:rsid w:val="00AB0D53"/>
    <w:rsid w:val="00B068B2"/>
    <w:rsid w:val="00B60765"/>
    <w:rsid w:val="00BC4260"/>
    <w:rsid w:val="00C23057"/>
    <w:rsid w:val="00C24702"/>
    <w:rsid w:val="00C31844"/>
    <w:rsid w:val="00C33879"/>
    <w:rsid w:val="00C64447"/>
    <w:rsid w:val="00C64AC5"/>
    <w:rsid w:val="00C744E4"/>
    <w:rsid w:val="00C779C2"/>
    <w:rsid w:val="00CD3731"/>
    <w:rsid w:val="00CD3EFE"/>
    <w:rsid w:val="00D05FFB"/>
    <w:rsid w:val="00D2103D"/>
    <w:rsid w:val="00D3413B"/>
    <w:rsid w:val="00D43135"/>
    <w:rsid w:val="00D6594F"/>
    <w:rsid w:val="00D71AFC"/>
    <w:rsid w:val="00D80E87"/>
    <w:rsid w:val="00D816E9"/>
    <w:rsid w:val="00E053F1"/>
    <w:rsid w:val="00E45B17"/>
    <w:rsid w:val="00EA2916"/>
    <w:rsid w:val="00EB71EB"/>
    <w:rsid w:val="00EC0545"/>
    <w:rsid w:val="00F172F4"/>
    <w:rsid w:val="00F82CC0"/>
    <w:rsid w:val="00FB05BC"/>
    <w:rsid w:val="00FB6D1D"/>
    <w:rsid w:val="00FD0400"/>
    <w:rsid w:val="00FE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A381F"/>
  <w15:docId w15:val="{07838C8B-B7D3-4749-923E-27E9320A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B0220"/>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1B0220"/>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0220"/>
    <w:rPr>
      <w:rFonts w:ascii="Arial" w:eastAsia="Times New Roman" w:hAnsi="Arial" w:cs="Arial"/>
      <w:vanish/>
      <w:sz w:val="16"/>
      <w:szCs w:val="16"/>
    </w:rPr>
  </w:style>
  <w:style w:type="paragraph" w:styleId="Header">
    <w:name w:val="header"/>
    <w:basedOn w:val="Normal"/>
    <w:link w:val="HeaderChar"/>
    <w:uiPriority w:val="99"/>
    <w:unhideWhenUsed/>
    <w:rsid w:val="001B0220"/>
    <w:pPr>
      <w:tabs>
        <w:tab w:val="center" w:pos="4680"/>
        <w:tab w:val="right" w:pos="9360"/>
      </w:tabs>
    </w:pPr>
  </w:style>
  <w:style w:type="character" w:customStyle="1" w:styleId="HeaderChar">
    <w:name w:val="Header Char"/>
    <w:basedOn w:val="DefaultParagraphFont"/>
    <w:link w:val="Header"/>
    <w:uiPriority w:val="99"/>
    <w:rsid w:val="001B0220"/>
    <w:rPr>
      <w:rFonts w:ascii="Times New Roman" w:eastAsia="Times New Roman" w:hAnsi="Times New Roman" w:cs="Times New Roman"/>
    </w:rPr>
  </w:style>
  <w:style w:type="paragraph" w:styleId="Footer">
    <w:name w:val="footer"/>
    <w:basedOn w:val="Normal"/>
    <w:link w:val="FooterChar"/>
    <w:uiPriority w:val="99"/>
    <w:unhideWhenUsed/>
    <w:rsid w:val="001B0220"/>
    <w:pPr>
      <w:tabs>
        <w:tab w:val="center" w:pos="4680"/>
        <w:tab w:val="right" w:pos="9360"/>
      </w:tabs>
    </w:pPr>
  </w:style>
  <w:style w:type="character" w:customStyle="1" w:styleId="FooterChar">
    <w:name w:val="Footer Char"/>
    <w:basedOn w:val="DefaultParagraphFont"/>
    <w:link w:val="Footer"/>
    <w:uiPriority w:val="99"/>
    <w:rsid w:val="001B02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94F"/>
    <w:rPr>
      <w:sz w:val="16"/>
      <w:szCs w:val="16"/>
    </w:rPr>
  </w:style>
  <w:style w:type="paragraph" w:styleId="CommentText">
    <w:name w:val="annotation text"/>
    <w:basedOn w:val="Normal"/>
    <w:link w:val="CommentTextChar"/>
    <w:uiPriority w:val="99"/>
    <w:unhideWhenUsed/>
    <w:rsid w:val="00D6594F"/>
    <w:rPr>
      <w:sz w:val="20"/>
      <w:szCs w:val="20"/>
    </w:rPr>
  </w:style>
  <w:style w:type="character" w:customStyle="1" w:styleId="CommentTextChar">
    <w:name w:val="Comment Text Char"/>
    <w:basedOn w:val="DefaultParagraphFont"/>
    <w:link w:val="CommentText"/>
    <w:uiPriority w:val="99"/>
    <w:rsid w:val="00D65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94F"/>
    <w:rPr>
      <w:b/>
      <w:bCs/>
    </w:rPr>
  </w:style>
  <w:style w:type="character" w:customStyle="1" w:styleId="CommentSubjectChar">
    <w:name w:val="Comment Subject Char"/>
    <w:basedOn w:val="CommentTextChar"/>
    <w:link w:val="CommentSubject"/>
    <w:uiPriority w:val="99"/>
    <w:semiHidden/>
    <w:rsid w:val="00D6594F"/>
    <w:rPr>
      <w:rFonts w:ascii="Times New Roman" w:eastAsia="Times New Roman" w:hAnsi="Times New Roman" w:cs="Times New Roman"/>
      <w:b/>
      <w:bCs/>
      <w:sz w:val="20"/>
      <w:szCs w:val="20"/>
    </w:rPr>
  </w:style>
  <w:style w:type="paragraph" w:styleId="Revision">
    <w:name w:val="Revision"/>
    <w:hidden/>
    <w:uiPriority w:val="99"/>
    <w:semiHidden/>
    <w:rsid w:val="003B2AEF"/>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26502"/>
    <w:rPr>
      <w:sz w:val="20"/>
      <w:szCs w:val="20"/>
    </w:rPr>
  </w:style>
  <w:style w:type="character" w:customStyle="1" w:styleId="FootnoteTextChar">
    <w:name w:val="Footnote Text Char"/>
    <w:basedOn w:val="DefaultParagraphFont"/>
    <w:link w:val="FootnoteText"/>
    <w:uiPriority w:val="99"/>
    <w:semiHidden/>
    <w:rsid w:val="000265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6502"/>
    <w:rPr>
      <w:vertAlign w:val="superscript"/>
    </w:rPr>
  </w:style>
  <w:style w:type="character" w:styleId="Hyperlink">
    <w:name w:val="Hyperlink"/>
    <w:basedOn w:val="DefaultParagraphFont"/>
    <w:uiPriority w:val="99"/>
    <w:unhideWhenUsed/>
    <w:rsid w:val="00026502"/>
    <w:rPr>
      <w:color w:val="0000FF" w:themeColor="hyperlink"/>
      <w:u w:val="single"/>
    </w:rPr>
  </w:style>
  <w:style w:type="paragraph" w:styleId="BalloonText">
    <w:name w:val="Balloon Text"/>
    <w:basedOn w:val="Normal"/>
    <w:link w:val="BalloonTextChar"/>
    <w:uiPriority w:val="99"/>
    <w:semiHidden/>
    <w:unhideWhenUsed/>
    <w:rsid w:val="000C5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BD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64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56661">
      <w:bodyDiv w:val="1"/>
      <w:marLeft w:val="0"/>
      <w:marRight w:val="0"/>
      <w:marTop w:val="0"/>
      <w:marBottom w:val="0"/>
      <w:divBdr>
        <w:top w:val="none" w:sz="0" w:space="0" w:color="auto"/>
        <w:left w:val="none" w:sz="0" w:space="0" w:color="auto"/>
        <w:bottom w:val="none" w:sz="0" w:space="0" w:color="auto"/>
        <w:right w:val="none" w:sz="0" w:space="0" w:color="auto"/>
      </w:divBdr>
    </w:div>
    <w:div w:id="2029794695">
      <w:bodyDiv w:val="1"/>
      <w:marLeft w:val="0"/>
      <w:marRight w:val="0"/>
      <w:marTop w:val="0"/>
      <w:marBottom w:val="0"/>
      <w:divBdr>
        <w:top w:val="none" w:sz="0" w:space="0" w:color="auto"/>
        <w:left w:val="none" w:sz="0" w:space="0" w:color="auto"/>
        <w:bottom w:val="none" w:sz="0" w:space="0" w:color="auto"/>
        <w:right w:val="none" w:sz="0" w:space="0" w:color="auto"/>
      </w:divBdr>
      <w:divsChild>
        <w:div w:id="1816531734">
          <w:marLeft w:val="0"/>
          <w:marRight w:val="0"/>
          <w:marTop w:val="0"/>
          <w:marBottom w:val="0"/>
          <w:divBdr>
            <w:top w:val="single" w:sz="2" w:space="0" w:color="D9D9E3"/>
            <w:left w:val="single" w:sz="2" w:space="0" w:color="D9D9E3"/>
            <w:bottom w:val="single" w:sz="2" w:space="0" w:color="D9D9E3"/>
            <w:right w:val="single" w:sz="2" w:space="0" w:color="D9D9E3"/>
          </w:divBdr>
          <w:divsChild>
            <w:div w:id="1751728619">
              <w:marLeft w:val="0"/>
              <w:marRight w:val="0"/>
              <w:marTop w:val="0"/>
              <w:marBottom w:val="0"/>
              <w:divBdr>
                <w:top w:val="single" w:sz="2" w:space="0" w:color="D9D9E3"/>
                <w:left w:val="single" w:sz="2" w:space="0" w:color="D9D9E3"/>
                <w:bottom w:val="single" w:sz="2" w:space="0" w:color="D9D9E3"/>
                <w:right w:val="single" w:sz="2" w:space="0" w:color="D9D9E3"/>
              </w:divBdr>
              <w:divsChild>
                <w:div w:id="984502807">
                  <w:marLeft w:val="0"/>
                  <w:marRight w:val="0"/>
                  <w:marTop w:val="0"/>
                  <w:marBottom w:val="0"/>
                  <w:divBdr>
                    <w:top w:val="single" w:sz="2" w:space="0" w:color="D9D9E3"/>
                    <w:left w:val="single" w:sz="2" w:space="0" w:color="D9D9E3"/>
                    <w:bottom w:val="single" w:sz="2" w:space="0" w:color="D9D9E3"/>
                    <w:right w:val="single" w:sz="2" w:space="0" w:color="D9D9E3"/>
                  </w:divBdr>
                  <w:divsChild>
                    <w:div w:id="1251622421">
                      <w:marLeft w:val="0"/>
                      <w:marRight w:val="0"/>
                      <w:marTop w:val="0"/>
                      <w:marBottom w:val="0"/>
                      <w:divBdr>
                        <w:top w:val="single" w:sz="2" w:space="0" w:color="D9D9E3"/>
                        <w:left w:val="single" w:sz="2" w:space="0" w:color="D9D9E3"/>
                        <w:bottom w:val="single" w:sz="2" w:space="0" w:color="D9D9E3"/>
                        <w:right w:val="single" w:sz="2" w:space="0" w:color="D9D9E3"/>
                      </w:divBdr>
                      <w:divsChild>
                        <w:div w:id="1249264877">
                          <w:marLeft w:val="0"/>
                          <w:marRight w:val="0"/>
                          <w:marTop w:val="0"/>
                          <w:marBottom w:val="0"/>
                          <w:divBdr>
                            <w:top w:val="single" w:sz="2" w:space="0" w:color="auto"/>
                            <w:left w:val="single" w:sz="2" w:space="0" w:color="auto"/>
                            <w:bottom w:val="single" w:sz="6" w:space="0" w:color="auto"/>
                            <w:right w:val="single" w:sz="2" w:space="0" w:color="auto"/>
                          </w:divBdr>
                          <w:divsChild>
                            <w:div w:id="1745252865">
                              <w:marLeft w:val="0"/>
                              <w:marRight w:val="0"/>
                              <w:marTop w:val="100"/>
                              <w:marBottom w:val="100"/>
                              <w:divBdr>
                                <w:top w:val="single" w:sz="2" w:space="0" w:color="D9D9E3"/>
                                <w:left w:val="single" w:sz="2" w:space="0" w:color="D9D9E3"/>
                                <w:bottom w:val="single" w:sz="2" w:space="0" w:color="D9D9E3"/>
                                <w:right w:val="single" w:sz="2" w:space="0" w:color="D9D9E3"/>
                              </w:divBdr>
                              <w:divsChild>
                                <w:div w:id="481966540">
                                  <w:marLeft w:val="0"/>
                                  <w:marRight w:val="0"/>
                                  <w:marTop w:val="0"/>
                                  <w:marBottom w:val="0"/>
                                  <w:divBdr>
                                    <w:top w:val="single" w:sz="2" w:space="0" w:color="D9D9E3"/>
                                    <w:left w:val="single" w:sz="2" w:space="0" w:color="D9D9E3"/>
                                    <w:bottom w:val="single" w:sz="2" w:space="0" w:color="D9D9E3"/>
                                    <w:right w:val="single" w:sz="2" w:space="0" w:color="D9D9E3"/>
                                  </w:divBdr>
                                  <w:divsChild>
                                    <w:div w:id="1688869877">
                                      <w:marLeft w:val="0"/>
                                      <w:marRight w:val="0"/>
                                      <w:marTop w:val="0"/>
                                      <w:marBottom w:val="0"/>
                                      <w:divBdr>
                                        <w:top w:val="single" w:sz="2" w:space="0" w:color="D9D9E3"/>
                                        <w:left w:val="single" w:sz="2" w:space="0" w:color="D9D9E3"/>
                                        <w:bottom w:val="single" w:sz="2" w:space="0" w:color="D9D9E3"/>
                                        <w:right w:val="single" w:sz="2" w:space="0" w:color="D9D9E3"/>
                                      </w:divBdr>
                                      <w:divsChild>
                                        <w:div w:id="743718912">
                                          <w:marLeft w:val="0"/>
                                          <w:marRight w:val="0"/>
                                          <w:marTop w:val="0"/>
                                          <w:marBottom w:val="0"/>
                                          <w:divBdr>
                                            <w:top w:val="single" w:sz="2" w:space="0" w:color="D9D9E3"/>
                                            <w:left w:val="single" w:sz="2" w:space="0" w:color="D9D9E3"/>
                                            <w:bottom w:val="single" w:sz="2" w:space="0" w:color="D9D9E3"/>
                                            <w:right w:val="single" w:sz="2" w:space="0" w:color="D9D9E3"/>
                                          </w:divBdr>
                                          <w:divsChild>
                                            <w:div w:id="2126800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7646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cdbg-dr.pr.gov/download/guias-ura-adp/" TargetMode="External"/><Relationship Id="rId1" Type="http://schemas.openxmlformats.org/officeDocument/2006/relationships/hyperlink" Target="https://cdbg-dr.pr.gov/en/download/ura-adp-guideline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0c46c-2491-45a9-964e-bf7fded4b3b6" xsi:nil="true"/>
    <lcf76f155ced4ddcb4097134ff3c332f xmlns="ac6c4838-25a7-4f18-8dee-62c49ca452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B20C554C933E4B9A8E9A00C983C485" ma:contentTypeVersion="17" ma:contentTypeDescription="Create a new document." ma:contentTypeScope="" ma:versionID="620627ee2bfe5add077e0400c2825d0e">
  <xsd:schema xmlns:xsd="http://www.w3.org/2001/XMLSchema" xmlns:xs="http://www.w3.org/2001/XMLSchema" xmlns:p="http://schemas.microsoft.com/office/2006/metadata/properties" xmlns:ns2="ac6c4838-25a7-4f18-8dee-62c49ca4523a" xmlns:ns3="d550c46c-2491-45a9-964e-bf7fded4b3b6" targetNamespace="http://schemas.microsoft.com/office/2006/metadata/properties" ma:root="true" ma:fieldsID="2d9f35d8d3e49520c51ecc3f623fef4a" ns2:_="" ns3:_="">
    <xsd:import namespace="ac6c4838-25a7-4f18-8dee-62c49ca4523a"/>
    <xsd:import namespace="d550c46c-2491-45a9-964e-bf7fded4b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c4838-25a7-4f18-8dee-62c49ca45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41f66d-d5bf-47d3-93ee-f9685332c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c46c-2491-45a9-964e-bf7fded4b3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c33ef8-549e-4fa4-9cdc-5b1f08bf60a4}" ma:internalName="TaxCatchAll" ma:showField="CatchAllData" ma:web="d550c46c-2491-45a9-964e-bf7fded4b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23030-999D-4737-B0F2-B75E5E4F1D62}">
  <ds:schemaRefs>
    <ds:schemaRef ds:uri="http://schemas.microsoft.com/office/2006/metadata/properties"/>
    <ds:schemaRef ds:uri="http://schemas.microsoft.com/office/infopath/2007/PartnerControls"/>
    <ds:schemaRef ds:uri="d550c46c-2491-45a9-964e-bf7fded4b3b6"/>
    <ds:schemaRef ds:uri="ac6c4838-25a7-4f18-8dee-62c49ca4523a"/>
  </ds:schemaRefs>
</ds:datastoreItem>
</file>

<file path=customXml/itemProps2.xml><?xml version="1.0" encoding="utf-8"?>
<ds:datastoreItem xmlns:ds="http://schemas.openxmlformats.org/officeDocument/2006/customXml" ds:itemID="{E5551DDF-C1DF-4768-B037-D105E9D36047}">
  <ds:schemaRefs>
    <ds:schemaRef ds:uri="http://schemas.openxmlformats.org/officeDocument/2006/bibliography"/>
  </ds:schemaRefs>
</ds:datastoreItem>
</file>

<file path=customXml/itemProps3.xml><?xml version="1.0" encoding="utf-8"?>
<ds:datastoreItem xmlns:ds="http://schemas.openxmlformats.org/officeDocument/2006/customXml" ds:itemID="{44615F32-CF0D-4C77-98FE-776603D43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c4838-25a7-4f18-8dee-62c49ca4523a"/>
    <ds:schemaRef ds:uri="d550c46c-2491-45a9-964e-bf7fded4b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ED179-4203-4577-A3A3-C09B95008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Alfredo Borras</dc:creator>
  <cp:lastModifiedBy>Betzangelee Serrano</cp:lastModifiedBy>
  <cp:revision>18</cp:revision>
  <dcterms:created xsi:type="dcterms:W3CDTF">2023-07-18T20:13:00Z</dcterms:created>
  <dcterms:modified xsi:type="dcterms:W3CDTF">2023-09-14T20:33:00Z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vt:lpwstr>
  </property>
  <property fmtid="{D5CDD505-2E9C-101B-9397-08002B2CF9AE}" pid="4" name="LastSaved">
    <vt:filetime>2023-04-19T00:00:00Z</vt:filetime>
  </property>
  <property fmtid="{D5CDD505-2E9C-101B-9397-08002B2CF9AE}" pid="5" name="Producer">
    <vt:lpwstr>macOS Version 12.4 (Build 21F2081) Quartz PDFContext</vt:lpwstr>
  </property>
  <property fmtid="{D5CDD505-2E9C-101B-9397-08002B2CF9AE}" pid="6" name="ContentTypeId">
    <vt:lpwstr>0x0101004DB20C554C933E4B9A8E9A00C983C485</vt:lpwstr>
  </property>
  <property fmtid="{D5CDD505-2E9C-101B-9397-08002B2CF9AE}" pid="7" name="GrammarlyDocumentId">
    <vt:lpwstr>76be7cb2a5abc9da54ab0f51c844dee882a7c503b2309f103e14e8248dd708fb</vt:lpwstr>
  </property>
</Properties>
</file>